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173" w:rsidRPr="00BA599F" w:rsidRDefault="00974173" w:rsidP="00974173">
      <w:pPr>
        <w:pStyle w:val="NoParagraphStyle"/>
        <w:tabs>
          <w:tab w:val="left" w:pos="567"/>
          <w:tab w:val="left" w:pos="851"/>
          <w:tab w:val="right" w:pos="5340"/>
        </w:tabs>
        <w:ind w:left="993"/>
        <w:contextualSpacing/>
        <w:jc w:val="both"/>
        <w:rPr>
          <w:rFonts w:ascii="Verdana" w:hAnsi="Verdana"/>
          <w:color w:val="595959" w:themeColor="text1" w:themeTint="A6"/>
          <w:sz w:val="20"/>
        </w:rPr>
      </w:pPr>
    </w:p>
    <w:p w:rsidR="00974173" w:rsidRPr="00BA599F" w:rsidRDefault="00974173" w:rsidP="00974173">
      <w:pPr>
        <w:tabs>
          <w:tab w:val="left" w:pos="993"/>
          <w:tab w:val="left" w:pos="1276"/>
        </w:tabs>
        <w:rPr>
          <w:rFonts w:ascii="Verdana" w:hAnsi="Verdana"/>
          <w:color w:val="595959" w:themeColor="text1" w:themeTint="A6"/>
          <w:sz w:val="20"/>
          <w:szCs w:val="20"/>
        </w:rPr>
      </w:pPr>
      <w:r w:rsidRPr="00BA599F">
        <w:rPr>
          <w:rFonts w:ascii="Verdana" w:hAnsi="Verdana"/>
          <w:sz w:val="20"/>
          <w:szCs w:val="20"/>
        </w:rPr>
        <w:t xml:space="preserve">                  </w:t>
      </w:r>
    </w:p>
    <w:p w:rsidR="00BA599F" w:rsidRPr="001E764E" w:rsidRDefault="00BA599F" w:rsidP="00BA599F">
      <w:pPr>
        <w:ind w:firstLine="720"/>
        <w:contextualSpacing/>
        <w:rPr>
          <w:rFonts w:ascii="Verdana" w:hAnsi="Verdana"/>
          <w:sz w:val="20"/>
          <w:szCs w:val="20"/>
        </w:rPr>
      </w:pPr>
      <w:r w:rsidRPr="001E764E">
        <w:rPr>
          <w:rFonts w:ascii="Verdana" w:hAnsi="Verdana"/>
          <w:sz w:val="20"/>
          <w:szCs w:val="20"/>
        </w:rPr>
        <w:t>David Ogilvie</w:t>
      </w:r>
    </w:p>
    <w:p w:rsidR="00BA599F" w:rsidRPr="001E764E" w:rsidRDefault="00BA599F" w:rsidP="00BA599F">
      <w:pPr>
        <w:ind w:firstLine="720"/>
        <w:contextualSpacing/>
        <w:rPr>
          <w:rFonts w:ascii="Verdana" w:hAnsi="Verdana"/>
          <w:sz w:val="20"/>
          <w:szCs w:val="20"/>
        </w:rPr>
      </w:pPr>
      <w:r w:rsidRPr="001E764E">
        <w:rPr>
          <w:rFonts w:ascii="Verdana" w:hAnsi="Verdana"/>
          <w:sz w:val="20"/>
          <w:szCs w:val="20"/>
        </w:rPr>
        <w:t>Policy Manager</w:t>
      </w:r>
    </w:p>
    <w:p w:rsidR="00BA599F" w:rsidRPr="001E764E" w:rsidRDefault="00BA599F" w:rsidP="00BA599F">
      <w:pPr>
        <w:ind w:firstLine="720"/>
        <w:contextualSpacing/>
        <w:rPr>
          <w:rFonts w:ascii="Verdana" w:hAnsi="Verdana"/>
          <w:sz w:val="20"/>
          <w:szCs w:val="20"/>
        </w:rPr>
      </w:pPr>
      <w:r w:rsidRPr="001E764E">
        <w:rPr>
          <w:rFonts w:ascii="Verdana" w:hAnsi="Verdana"/>
          <w:sz w:val="20"/>
          <w:szCs w:val="20"/>
          <w:lang w:eastAsia="en-GB"/>
        </w:rPr>
        <w:t>Customs &amp; Indirect Tax Directorate</w:t>
      </w:r>
    </w:p>
    <w:p w:rsidR="00BA599F" w:rsidRPr="001E764E" w:rsidRDefault="00BA599F" w:rsidP="00BA599F">
      <w:pPr>
        <w:ind w:firstLine="720"/>
        <w:contextualSpacing/>
        <w:rPr>
          <w:rFonts w:ascii="Verdana" w:hAnsi="Verdana"/>
          <w:sz w:val="20"/>
          <w:szCs w:val="20"/>
        </w:rPr>
      </w:pPr>
      <w:r w:rsidRPr="001E764E">
        <w:rPr>
          <w:rFonts w:ascii="Verdana" w:hAnsi="Verdana"/>
          <w:sz w:val="20"/>
          <w:szCs w:val="20"/>
        </w:rPr>
        <w:t>HMRC</w:t>
      </w:r>
    </w:p>
    <w:p w:rsidR="00BA599F" w:rsidRPr="001E764E" w:rsidRDefault="00BA599F" w:rsidP="00BA599F">
      <w:pPr>
        <w:ind w:firstLine="720"/>
        <w:contextualSpacing/>
        <w:rPr>
          <w:rFonts w:ascii="Verdana" w:hAnsi="Verdana"/>
          <w:sz w:val="20"/>
          <w:szCs w:val="20"/>
          <w:lang w:eastAsia="en-GB"/>
        </w:rPr>
      </w:pPr>
      <w:r w:rsidRPr="001E764E">
        <w:rPr>
          <w:rFonts w:ascii="Verdana" w:hAnsi="Verdana"/>
          <w:sz w:val="20"/>
          <w:szCs w:val="20"/>
          <w:lang w:eastAsia="en-GB"/>
        </w:rPr>
        <w:t xml:space="preserve">3C/09 100 Parliament Street </w:t>
      </w:r>
    </w:p>
    <w:p w:rsidR="00BA599F" w:rsidRPr="001E764E" w:rsidRDefault="00BA599F" w:rsidP="00BA599F">
      <w:pPr>
        <w:ind w:firstLine="720"/>
        <w:contextualSpacing/>
        <w:rPr>
          <w:rFonts w:ascii="Verdana" w:hAnsi="Verdana"/>
          <w:sz w:val="20"/>
          <w:szCs w:val="20"/>
        </w:rPr>
      </w:pPr>
      <w:r w:rsidRPr="001E764E">
        <w:rPr>
          <w:rFonts w:ascii="Verdana" w:hAnsi="Verdana"/>
          <w:sz w:val="20"/>
          <w:szCs w:val="20"/>
        </w:rPr>
        <w:t>London SW1A 2BQ</w:t>
      </w:r>
    </w:p>
    <w:p w:rsidR="00974173" w:rsidRPr="001E764E" w:rsidRDefault="00974173" w:rsidP="00974173">
      <w:pPr>
        <w:rPr>
          <w:rFonts w:ascii="Verdana" w:hAnsi="Verdana"/>
          <w:sz w:val="20"/>
          <w:szCs w:val="20"/>
        </w:rPr>
      </w:pPr>
    </w:p>
    <w:p w:rsidR="00974173" w:rsidRPr="00FC1E39" w:rsidRDefault="00FC1E39" w:rsidP="00974173">
      <w:pPr>
        <w:ind w:firstLine="720"/>
        <w:rPr>
          <w:rFonts w:ascii="Verdana" w:hAnsi="Verdana"/>
          <w:sz w:val="20"/>
          <w:szCs w:val="20"/>
        </w:rPr>
      </w:pPr>
      <w:r w:rsidRPr="00FC1E39">
        <w:rPr>
          <w:rFonts w:ascii="Verdana" w:hAnsi="Verdana"/>
          <w:sz w:val="20"/>
          <w:szCs w:val="20"/>
        </w:rPr>
        <w:t>11 June 2019</w:t>
      </w:r>
    </w:p>
    <w:p w:rsidR="00974173" w:rsidRPr="001E764E" w:rsidRDefault="00974173" w:rsidP="00974173">
      <w:pPr>
        <w:ind w:firstLine="720"/>
        <w:rPr>
          <w:rFonts w:ascii="Verdana" w:hAnsi="Verdana"/>
          <w:sz w:val="20"/>
          <w:szCs w:val="20"/>
        </w:rPr>
      </w:pPr>
    </w:p>
    <w:p w:rsidR="00974173" w:rsidRPr="001E764E" w:rsidRDefault="00BA599F" w:rsidP="00974173">
      <w:pPr>
        <w:ind w:firstLine="720"/>
        <w:rPr>
          <w:rFonts w:ascii="Verdana" w:hAnsi="Verdana"/>
          <w:sz w:val="20"/>
          <w:szCs w:val="20"/>
        </w:rPr>
      </w:pPr>
      <w:r w:rsidRPr="001E764E">
        <w:rPr>
          <w:rFonts w:ascii="Verdana" w:hAnsi="Verdana"/>
          <w:sz w:val="20"/>
          <w:szCs w:val="20"/>
        </w:rPr>
        <w:t>Dear David,</w:t>
      </w:r>
    </w:p>
    <w:p w:rsidR="00974173" w:rsidRPr="001E764E" w:rsidRDefault="00974173" w:rsidP="00974173">
      <w:pPr>
        <w:rPr>
          <w:rFonts w:ascii="Verdana" w:hAnsi="Verdana"/>
          <w:b/>
          <w:sz w:val="20"/>
          <w:szCs w:val="20"/>
        </w:rPr>
      </w:pPr>
    </w:p>
    <w:p w:rsidR="001E764E" w:rsidRPr="001E764E" w:rsidRDefault="00BA599F" w:rsidP="00E43F26">
      <w:pPr>
        <w:spacing w:after="120"/>
        <w:ind w:left="720"/>
        <w:rPr>
          <w:rFonts w:ascii="Verdana" w:hAnsi="Verdana"/>
          <w:b/>
          <w:bCs/>
          <w:sz w:val="20"/>
          <w:szCs w:val="20"/>
        </w:rPr>
      </w:pPr>
      <w:r w:rsidRPr="001E764E">
        <w:rPr>
          <w:rFonts w:ascii="Verdana" w:hAnsi="Verdana"/>
          <w:b/>
          <w:sz w:val="20"/>
          <w:szCs w:val="20"/>
        </w:rPr>
        <w:t>Re:</w:t>
      </w:r>
      <w:r w:rsidR="001E764E">
        <w:rPr>
          <w:rFonts w:ascii="Verdana" w:hAnsi="Verdana"/>
          <w:b/>
          <w:sz w:val="20"/>
          <w:szCs w:val="20"/>
        </w:rPr>
        <w:t xml:space="preserve">  </w:t>
      </w:r>
      <w:r w:rsidR="00E43F26">
        <w:rPr>
          <w:rFonts w:ascii="Verdana" w:hAnsi="Verdana"/>
          <w:b/>
          <w:sz w:val="20"/>
          <w:szCs w:val="20"/>
        </w:rPr>
        <w:t>EXEMPTION FOR LOCAL AUTHORITIES FROM THE PROPOSED CONSTRUCTION REVERSE CHARGE</w:t>
      </w:r>
    </w:p>
    <w:p w:rsidR="002976ED" w:rsidRPr="00D7480B" w:rsidRDefault="00E43F26" w:rsidP="00D7480B">
      <w:pPr>
        <w:autoSpaceDE w:val="0"/>
        <w:autoSpaceDN w:val="0"/>
        <w:adjustRightInd w:val="0"/>
        <w:spacing w:after="120"/>
        <w:ind w:left="720"/>
        <w:jc w:val="both"/>
        <w:rPr>
          <w:rFonts w:ascii="Verdana" w:hAnsi="Verdana"/>
          <w:bCs/>
          <w:sz w:val="20"/>
          <w:szCs w:val="20"/>
        </w:rPr>
      </w:pPr>
      <w:r w:rsidRPr="00D7480B">
        <w:rPr>
          <w:rFonts w:ascii="Verdana" w:hAnsi="Verdana"/>
          <w:bCs/>
          <w:sz w:val="20"/>
          <w:szCs w:val="20"/>
        </w:rPr>
        <w:t xml:space="preserve">As discussed at the CIPFA VAT Committee on 6 March 2019, local authorities believe there are good pragmatic reasons to exempt local authorities from the proposed construction reverse charge due to come into effect on 1 October 2019;  this would mean that all supplies of construction services procured by </w:t>
      </w:r>
      <w:r w:rsidR="002976ED" w:rsidRPr="00D7480B">
        <w:rPr>
          <w:rFonts w:ascii="Verdana" w:hAnsi="Verdana"/>
          <w:bCs/>
          <w:sz w:val="20"/>
          <w:szCs w:val="20"/>
        </w:rPr>
        <w:t>a local authority could then be treated as subject to ‘normal’ VAT rules without enquiry or declaration.</w:t>
      </w:r>
    </w:p>
    <w:p w:rsidR="001A5864" w:rsidRDefault="001A5864" w:rsidP="00D7480B">
      <w:pPr>
        <w:pStyle w:val="N3"/>
        <w:numPr>
          <w:ilvl w:val="0"/>
          <w:numId w:val="0"/>
        </w:numPr>
        <w:tabs>
          <w:tab w:val="left" w:pos="720"/>
        </w:tabs>
        <w:spacing w:before="0" w:after="120" w:line="240" w:lineRule="auto"/>
        <w:ind w:left="720"/>
        <w:rPr>
          <w:rFonts w:ascii="Verdana" w:hAnsi="Verdana" w:cs="Arial"/>
          <w:b/>
          <w:i/>
          <w:sz w:val="20"/>
          <w:szCs w:val="20"/>
        </w:rPr>
      </w:pPr>
    </w:p>
    <w:p w:rsidR="00C56CAC" w:rsidRPr="00C56CAC" w:rsidRDefault="00C56CAC" w:rsidP="00D7480B">
      <w:pPr>
        <w:pStyle w:val="N3"/>
        <w:numPr>
          <w:ilvl w:val="0"/>
          <w:numId w:val="0"/>
        </w:numPr>
        <w:tabs>
          <w:tab w:val="left" w:pos="720"/>
        </w:tabs>
        <w:spacing w:before="0" w:after="120" w:line="240" w:lineRule="auto"/>
        <w:ind w:left="720"/>
        <w:rPr>
          <w:rFonts w:ascii="Verdana" w:hAnsi="Verdana" w:cs="Arial"/>
          <w:b/>
          <w:i/>
          <w:sz w:val="20"/>
          <w:szCs w:val="20"/>
        </w:rPr>
      </w:pPr>
      <w:r w:rsidRPr="00C56CAC">
        <w:rPr>
          <w:rFonts w:ascii="Verdana" w:hAnsi="Verdana" w:cs="Arial"/>
          <w:b/>
          <w:i/>
          <w:sz w:val="20"/>
          <w:szCs w:val="20"/>
        </w:rPr>
        <w:t>Justification</w:t>
      </w:r>
    </w:p>
    <w:p w:rsidR="00C56CAC" w:rsidRPr="00D7480B" w:rsidRDefault="00C56CAC" w:rsidP="00C56CAC">
      <w:pPr>
        <w:pStyle w:val="N3"/>
        <w:numPr>
          <w:ilvl w:val="0"/>
          <w:numId w:val="0"/>
        </w:numPr>
        <w:tabs>
          <w:tab w:val="left" w:pos="720"/>
        </w:tabs>
        <w:spacing w:before="0" w:after="120" w:line="240" w:lineRule="auto"/>
        <w:ind w:left="720"/>
        <w:rPr>
          <w:rFonts w:ascii="Verdana" w:hAnsi="Verdana" w:cs="Arial"/>
          <w:sz w:val="20"/>
          <w:szCs w:val="20"/>
        </w:rPr>
      </w:pPr>
      <w:r>
        <w:rPr>
          <w:rFonts w:ascii="Verdana" w:hAnsi="Verdana" w:cs="Arial"/>
          <w:sz w:val="20"/>
          <w:szCs w:val="20"/>
        </w:rPr>
        <w:t>There are only three scenarios in which a local authority procures construction services:</w:t>
      </w:r>
    </w:p>
    <w:p w:rsidR="00D7480B" w:rsidRPr="00D7480B" w:rsidRDefault="00D7480B" w:rsidP="00C56CAC">
      <w:pPr>
        <w:pStyle w:val="N3"/>
        <w:numPr>
          <w:ilvl w:val="0"/>
          <w:numId w:val="21"/>
        </w:numPr>
        <w:tabs>
          <w:tab w:val="left" w:pos="720"/>
        </w:tabs>
        <w:spacing w:before="0" w:after="120" w:line="240" w:lineRule="auto"/>
        <w:rPr>
          <w:rFonts w:ascii="Verdana" w:hAnsi="Verdana" w:cs="Arial"/>
          <w:sz w:val="20"/>
          <w:szCs w:val="20"/>
        </w:rPr>
      </w:pPr>
      <w:r w:rsidRPr="00D7480B">
        <w:rPr>
          <w:rFonts w:ascii="Verdana" w:hAnsi="Verdana" w:cs="Arial"/>
          <w:sz w:val="20"/>
          <w:szCs w:val="20"/>
        </w:rPr>
        <w:t xml:space="preserve">to </w:t>
      </w:r>
      <w:r w:rsidR="00C56CAC">
        <w:rPr>
          <w:rFonts w:ascii="Verdana" w:hAnsi="Verdana" w:cs="Arial"/>
          <w:sz w:val="20"/>
          <w:szCs w:val="20"/>
        </w:rPr>
        <w:t xml:space="preserve">an asset that it owns and/or runs pursuant to its public service responsibilities, </w:t>
      </w:r>
      <w:proofErr w:type="spellStart"/>
      <w:r w:rsidR="00C56CAC">
        <w:rPr>
          <w:rFonts w:ascii="Verdana" w:hAnsi="Verdana" w:cs="Arial"/>
          <w:sz w:val="20"/>
          <w:szCs w:val="20"/>
        </w:rPr>
        <w:t>eg</w:t>
      </w:r>
      <w:proofErr w:type="spellEnd"/>
      <w:r w:rsidR="00C56CAC">
        <w:rPr>
          <w:rFonts w:ascii="Verdana" w:hAnsi="Verdana" w:cs="Arial"/>
          <w:sz w:val="20"/>
          <w:szCs w:val="20"/>
        </w:rPr>
        <w:t xml:space="preserve"> </w:t>
      </w:r>
      <w:r w:rsidRPr="00D7480B">
        <w:rPr>
          <w:rFonts w:ascii="Verdana" w:hAnsi="Verdana" w:cs="Arial"/>
          <w:sz w:val="20"/>
          <w:szCs w:val="20"/>
        </w:rPr>
        <w:t xml:space="preserve">a school, </w:t>
      </w:r>
      <w:r w:rsidR="00C56CAC">
        <w:rPr>
          <w:rFonts w:ascii="Verdana" w:hAnsi="Verdana" w:cs="Arial"/>
          <w:sz w:val="20"/>
          <w:szCs w:val="20"/>
        </w:rPr>
        <w:t xml:space="preserve">a </w:t>
      </w:r>
      <w:r w:rsidRPr="00D7480B">
        <w:rPr>
          <w:rFonts w:ascii="Verdana" w:hAnsi="Verdana" w:cs="Arial"/>
          <w:sz w:val="20"/>
          <w:szCs w:val="20"/>
        </w:rPr>
        <w:t xml:space="preserve">social services establishment, </w:t>
      </w:r>
      <w:r w:rsidR="00C56CAC">
        <w:rPr>
          <w:rFonts w:ascii="Verdana" w:hAnsi="Verdana" w:cs="Arial"/>
          <w:sz w:val="20"/>
          <w:szCs w:val="20"/>
        </w:rPr>
        <w:t xml:space="preserve">a </w:t>
      </w:r>
      <w:r w:rsidRPr="00D7480B">
        <w:rPr>
          <w:rFonts w:ascii="Verdana" w:hAnsi="Verdana" w:cs="Arial"/>
          <w:sz w:val="20"/>
          <w:szCs w:val="20"/>
        </w:rPr>
        <w:t xml:space="preserve">leisure centre, </w:t>
      </w:r>
      <w:r w:rsidR="00C56CAC">
        <w:rPr>
          <w:rFonts w:ascii="Verdana" w:hAnsi="Verdana" w:cs="Arial"/>
          <w:sz w:val="20"/>
          <w:szCs w:val="20"/>
        </w:rPr>
        <w:t xml:space="preserve">a </w:t>
      </w:r>
      <w:r w:rsidRPr="00D7480B">
        <w:rPr>
          <w:rFonts w:ascii="Verdana" w:hAnsi="Verdana" w:cs="Arial"/>
          <w:sz w:val="20"/>
          <w:szCs w:val="20"/>
        </w:rPr>
        <w:t>library</w:t>
      </w:r>
      <w:r w:rsidR="00B63236">
        <w:rPr>
          <w:rFonts w:ascii="Verdana" w:hAnsi="Verdana" w:cs="Arial"/>
          <w:sz w:val="20"/>
          <w:szCs w:val="20"/>
        </w:rPr>
        <w:t xml:space="preserve">, </w:t>
      </w:r>
      <w:r w:rsidR="00C56CAC">
        <w:rPr>
          <w:rFonts w:ascii="Verdana" w:hAnsi="Verdana" w:cs="Arial"/>
          <w:sz w:val="20"/>
          <w:szCs w:val="20"/>
        </w:rPr>
        <w:t xml:space="preserve">a </w:t>
      </w:r>
      <w:proofErr w:type="gramStart"/>
      <w:r w:rsidRPr="00D7480B">
        <w:rPr>
          <w:rFonts w:ascii="Verdana" w:hAnsi="Verdana" w:cs="Arial"/>
          <w:sz w:val="20"/>
          <w:szCs w:val="20"/>
        </w:rPr>
        <w:t>museum  -</w:t>
      </w:r>
      <w:proofErr w:type="gramEnd"/>
      <w:r w:rsidRPr="00D7480B">
        <w:rPr>
          <w:rFonts w:ascii="Verdana" w:hAnsi="Verdana" w:cs="Arial"/>
          <w:sz w:val="20"/>
          <w:szCs w:val="20"/>
        </w:rPr>
        <w:t xml:space="preserve">  the local authority is </w:t>
      </w:r>
      <w:r w:rsidR="00C56CAC">
        <w:rPr>
          <w:rFonts w:ascii="Verdana" w:hAnsi="Verdana" w:cs="Arial"/>
          <w:sz w:val="20"/>
          <w:szCs w:val="20"/>
        </w:rPr>
        <w:t xml:space="preserve">clearly </w:t>
      </w:r>
      <w:r w:rsidRPr="00D7480B">
        <w:rPr>
          <w:rFonts w:ascii="Verdana" w:hAnsi="Verdana" w:cs="Arial"/>
          <w:sz w:val="20"/>
          <w:szCs w:val="20"/>
        </w:rPr>
        <w:t xml:space="preserve">an end user </w:t>
      </w:r>
      <w:r w:rsidR="00C56CAC">
        <w:rPr>
          <w:rFonts w:ascii="Verdana" w:hAnsi="Verdana" w:cs="Arial"/>
          <w:sz w:val="20"/>
          <w:szCs w:val="20"/>
        </w:rPr>
        <w:t>in this context;</w:t>
      </w:r>
    </w:p>
    <w:p w:rsidR="00D7480B" w:rsidRPr="00D7480B" w:rsidRDefault="00C56CAC" w:rsidP="00C56CAC">
      <w:pPr>
        <w:pStyle w:val="N3"/>
        <w:numPr>
          <w:ilvl w:val="0"/>
          <w:numId w:val="21"/>
        </w:numPr>
        <w:tabs>
          <w:tab w:val="left" w:pos="720"/>
        </w:tabs>
        <w:spacing w:before="0" w:after="120" w:line="240" w:lineRule="auto"/>
        <w:rPr>
          <w:rFonts w:ascii="Verdana" w:hAnsi="Verdana" w:cs="Arial"/>
          <w:sz w:val="20"/>
          <w:szCs w:val="20"/>
        </w:rPr>
      </w:pPr>
      <w:r>
        <w:rPr>
          <w:rFonts w:ascii="Verdana" w:hAnsi="Verdana" w:cs="Arial"/>
          <w:sz w:val="20"/>
          <w:szCs w:val="20"/>
        </w:rPr>
        <w:t xml:space="preserve">to properties that it lets or leases to third parties, notably </w:t>
      </w:r>
      <w:r w:rsidR="00D7480B" w:rsidRPr="00D7480B">
        <w:rPr>
          <w:rFonts w:ascii="Verdana" w:hAnsi="Verdana" w:cs="Arial"/>
          <w:sz w:val="20"/>
          <w:szCs w:val="20"/>
        </w:rPr>
        <w:t xml:space="preserve">council housing </w:t>
      </w:r>
      <w:r>
        <w:rPr>
          <w:rFonts w:ascii="Verdana" w:hAnsi="Verdana" w:cs="Arial"/>
          <w:sz w:val="20"/>
          <w:szCs w:val="20"/>
        </w:rPr>
        <w:t xml:space="preserve">and </w:t>
      </w:r>
      <w:r w:rsidR="00D7480B" w:rsidRPr="00D7480B">
        <w:rPr>
          <w:rFonts w:ascii="Verdana" w:hAnsi="Verdana" w:cs="Arial"/>
          <w:sz w:val="20"/>
          <w:szCs w:val="20"/>
        </w:rPr>
        <w:t>commercial propert</w:t>
      </w:r>
      <w:r>
        <w:rPr>
          <w:rFonts w:ascii="Verdana" w:hAnsi="Verdana" w:cs="Arial"/>
          <w:sz w:val="20"/>
          <w:szCs w:val="20"/>
        </w:rPr>
        <w:t>ies</w:t>
      </w:r>
      <w:r w:rsidR="00D7480B" w:rsidRPr="00D7480B">
        <w:rPr>
          <w:rFonts w:ascii="Verdana" w:hAnsi="Verdana" w:cs="Arial"/>
          <w:sz w:val="20"/>
          <w:szCs w:val="20"/>
        </w:rPr>
        <w:t xml:space="preserve"> leased to </w:t>
      </w:r>
      <w:proofErr w:type="gramStart"/>
      <w:r w:rsidR="00D7480B" w:rsidRPr="00D7480B">
        <w:rPr>
          <w:rFonts w:ascii="Verdana" w:hAnsi="Verdana" w:cs="Arial"/>
          <w:sz w:val="20"/>
          <w:szCs w:val="20"/>
        </w:rPr>
        <w:t>business</w:t>
      </w:r>
      <w:r>
        <w:rPr>
          <w:rFonts w:ascii="Verdana" w:hAnsi="Verdana" w:cs="Arial"/>
          <w:sz w:val="20"/>
          <w:szCs w:val="20"/>
        </w:rPr>
        <w:t>es</w:t>
      </w:r>
      <w:r w:rsidR="00D7480B" w:rsidRPr="00D7480B">
        <w:rPr>
          <w:rFonts w:ascii="Verdana" w:hAnsi="Verdana" w:cs="Arial"/>
          <w:sz w:val="20"/>
          <w:szCs w:val="20"/>
        </w:rPr>
        <w:t>  -</w:t>
      </w:r>
      <w:proofErr w:type="gramEnd"/>
      <w:r w:rsidR="00D7480B" w:rsidRPr="00D7480B">
        <w:rPr>
          <w:rFonts w:ascii="Verdana" w:hAnsi="Verdana" w:cs="Arial"/>
          <w:sz w:val="20"/>
          <w:szCs w:val="20"/>
        </w:rPr>
        <w:t>  the local authority is procuring works as an intermediary supplier</w:t>
      </w:r>
      <w:r>
        <w:rPr>
          <w:rFonts w:ascii="Verdana" w:hAnsi="Verdana" w:cs="Arial"/>
          <w:sz w:val="20"/>
          <w:szCs w:val="20"/>
        </w:rPr>
        <w:t xml:space="preserve"> in this context;</w:t>
      </w:r>
    </w:p>
    <w:p w:rsidR="00C56CAC" w:rsidRDefault="00C56CAC" w:rsidP="00C56CAC">
      <w:pPr>
        <w:pStyle w:val="N3"/>
        <w:numPr>
          <w:ilvl w:val="0"/>
          <w:numId w:val="21"/>
        </w:numPr>
        <w:tabs>
          <w:tab w:val="left" w:pos="720"/>
        </w:tabs>
        <w:spacing w:before="0" w:after="120" w:line="240" w:lineRule="auto"/>
        <w:rPr>
          <w:rFonts w:ascii="Verdana" w:hAnsi="Verdana" w:cs="Arial"/>
          <w:color w:val="000000"/>
          <w:sz w:val="20"/>
          <w:szCs w:val="20"/>
        </w:rPr>
      </w:pPr>
      <w:r>
        <w:rPr>
          <w:rFonts w:ascii="Verdana" w:hAnsi="Verdana" w:cs="Arial"/>
          <w:sz w:val="20"/>
          <w:szCs w:val="20"/>
        </w:rPr>
        <w:t xml:space="preserve">in pursuit of its statutory public service responsibilities, </w:t>
      </w:r>
      <w:proofErr w:type="spellStart"/>
      <w:r>
        <w:rPr>
          <w:rFonts w:ascii="Verdana" w:hAnsi="Verdana" w:cs="Arial"/>
          <w:sz w:val="20"/>
          <w:szCs w:val="20"/>
        </w:rPr>
        <w:t>eg</w:t>
      </w:r>
      <w:proofErr w:type="spellEnd"/>
      <w:r>
        <w:rPr>
          <w:rFonts w:ascii="Verdana" w:hAnsi="Verdana" w:cs="Arial"/>
          <w:sz w:val="20"/>
          <w:szCs w:val="20"/>
        </w:rPr>
        <w:t xml:space="preserve"> </w:t>
      </w:r>
      <w:r w:rsidR="00D7480B" w:rsidRPr="00D7480B">
        <w:rPr>
          <w:rFonts w:ascii="Verdana" w:hAnsi="Verdana" w:cs="Arial"/>
          <w:sz w:val="20"/>
          <w:szCs w:val="20"/>
        </w:rPr>
        <w:t xml:space="preserve">to provide </w:t>
      </w:r>
      <w:r w:rsidR="00D7480B" w:rsidRPr="00D7480B">
        <w:rPr>
          <w:rFonts w:ascii="Verdana" w:hAnsi="Verdana" w:cs="Arial"/>
          <w:color w:val="000000"/>
          <w:sz w:val="20"/>
          <w:szCs w:val="20"/>
        </w:rPr>
        <w:t xml:space="preserve">dropped kerb access to a property, to carry out works-in-default where the owner or landlord fails to carry out required remedial works to their property, to undertake disabled adaptations to a person’s home, to facilitate a group repair scheme where </w:t>
      </w:r>
      <w:proofErr w:type="spellStart"/>
      <w:r w:rsidR="00D7480B" w:rsidRPr="00D7480B">
        <w:rPr>
          <w:rFonts w:ascii="Verdana" w:hAnsi="Verdana" w:cs="Arial"/>
          <w:color w:val="000000"/>
          <w:sz w:val="20"/>
          <w:szCs w:val="20"/>
        </w:rPr>
        <w:t>publically</w:t>
      </w:r>
      <w:proofErr w:type="spellEnd"/>
      <w:r w:rsidR="00D7480B" w:rsidRPr="00D7480B">
        <w:rPr>
          <w:rFonts w:ascii="Verdana" w:hAnsi="Verdana" w:cs="Arial"/>
          <w:color w:val="000000"/>
          <w:sz w:val="20"/>
          <w:szCs w:val="20"/>
        </w:rPr>
        <w:t xml:space="preserve"> funded improvements to a group of properties requires consistent treatment, </w:t>
      </w:r>
      <w:proofErr w:type="spellStart"/>
      <w:r w:rsidR="00D7480B" w:rsidRPr="00D7480B">
        <w:rPr>
          <w:rFonts w:ascii="Verdana" w:hAnsi="Verdana" w:cs="Arial"/>
          <w:color w:val="000000"/>
          <w:sz w:val="20"/>
          <w:szCs w:val="20"/>
        </w:rPr>
        <w:t>eg</w:t>
      </w:r>
      <w:proofErr w:type="spellEnd"/>
      <w:r w:rsidR="00D7480B" w:rsidRPr="00D7480B">
        <w:rPr>
          <w:rFonts w:ascii="Verdana" w:hAnsi="Verdana" w:cs="Arial"/>
          <w:color w:val="000000"/>
          <w:sz w:val="20"/>
          <w:szCs w:val="20"/>
        </w:rPr>
        <w:t xml:space="preserve"> matching frontages  -  although </w:t>
      </w:r>
      <w:r>
        <w:rPr>
          <w:rFonts w:ascii="Verdana" w:hAnsi="Verdana" w:cs="Arial"/>
          <w:color w:val="000000"/>
          <w:sz w:val="20"/>
          <w:szCs w:val="20"/>
        </w:rPr>
        <w:t xml:space="preserve">in some </w:t>
      </w:r>
      <w:r w:rsidR="00B63236">
        <w:rPr>
          <w:rFonts w:ascii="Verdana" w:hAnsi="Verdana" w:cs="Arial"/>
          <w:color w:val="000000"/>
          <w:sz w:val="20"/>
          <w:szCs w:val="20"/>
        </w:rPr>
        <w:t xml:space="preserve">cases </w:t>
      </w:r>
      <w:r w:rsidR="00D7480B" w:rsidRPr="00D7480B">
        <w:rPr>
          <w:rFonts w:ascii="Verdana" w:hAnsi="Verdana" w:cs="Arial"/>
          <w:color w:val="000000"/>
          <w:sz w:val="20"/>
          <w:szCs w:val="20"/>
        </w:rPr>
        <w:t xml:space="preserve">the cost of the works may be recharged to the beneficiary, the local authority is </w:t>
      </w:r>
      <w:r>
        <w:rPr>
          <w:rFonts w:ascii="Verdana" w:hAnsi="Verdana" w:cs="Arial"/>
          <w:color w:val="000000"/>
          <w:sz w:val="20"/>
          <w:szCs w:val="20"/>
        </w:rPr>
        <w:t xml:space="preserve">nonetheless </w:t>
      </w:r>
      <w:r w:rsidR="00D7480B" w:rsidRPr="00D7480B">
        <w:rPr>
          <w:rFonts w:ascii="Verdana" w:hAnsi="Verdana" w:cs="Arial"/>
          <w:color w:val="000000"/>
          <w:sz w:val="20"/>
          <w:szCs w:val="20"/>
        </w:rPr>
        <w:t xml:space="preserve">acting in pursuance of its statutory functions and not making an onward supply of construction services hence </w:t>
      </w:r>
      <w:r>
        <w:rPr>
          <w:rFonts w:ascii="Verdana" w:hAnsi="Verdana" w:cs="Arial"/>
          <w:color w:val="000000"/>
          <w:sz w:val="20"/>
          <w:szCs w:val="20"/>
        </w:rPr>
        <w:t xml:space="preserve">must be seen as </w:t>
      </w:r>
      <w:r w:rsidR="00D7480B" w:rsidRPr="00D7480B">
        <w:rPr>
          <w:rFonts w:ascii="Verdana" w:hAnsi="Verdana" w:cs="Arial"/>
          <w:color w:val="000000"/>
          <w:sz w:val="20"/>
          <w:szCs w:val="20"/>
        </w:rPr>
        <w:t>the end user</w:t>
      </w:r>
      <w:r>
        <w:rPr>
          <w:rFonts w:ascii="Verdana" w:hAnsi="Verdana" w:cs="Arial"/>
          <w:color w:val="000000"/>
          <w:sz w:val="20"/>
          <w:szCs w:val="20"/>
        </w:rPr>
        <w:t>.</w:t>
      </w:r>
    </w:p>
    <w:p w:rsidR="00C56CAC" w:rsidRDefault="00C56CAC" w:rsidP="00C56CAC">
      <w:pPr>
        <w:pStyle w:val="N3"/>
        <w:numPr>
          <w:ilvl w:val="0"/>
          <w:numId w:val="0"/>
        </w:numPr>
        <w:tabs>
          <w:tab w:val="left" w:pos="720"/>
        </w:tabs>
        <w:spacing w:before="0" w:after="120" w:line="240" w:lineRule="auto"/>
        <w:ind w:left="720"/>
        <w:rPr>
          <w:rFonts w:ascii="Verdana" w:hAnsi="Verdana" w:cs="Arial"/>
          <w:color w:val="000000"/>
          <w:sz w:val="20"/>
          <w:szCs w:val="20"/>
        </w:rPr>
      </w:pPr>
      <w:r>
        <w:rPr>
          <w:rFonts w:ascii="Verdana" w:hAnsi="Verdana" w:cs="Arial"/>
          <w:color w:val="000000"/>
          <w:sz w:val="20"/>
          <w:szCs w:val="20"/>
        </w:rPr>
        <w:t>For completeness, I understand it is accepted by HMRC in the context of the proposed reverse charge that, in scenario (3) the local authority is not making a supply of construction services and so its procurement thereof cannot fall within the reverse charge.</w:t>
      </w:r>
    </w:p>
    <w:p w:rsidR="00D7480B" w:rsidRPr="00D7480B" w:rsidRDefault="00C56CAC" w:rsidP="00C56CAC">
      <w:pPr>
        <w:pStyle w:val="N3"/>
        <w:numPr>
          <w:ilvl w:val="0"/>
          <w:numId w:val="0"/>
        </w:numPr>
        <w:tabs>
          <w:tab w:val="left" w:pos="720"/>
        </w:tabs>
        <w:spacing w:before="0" w:after="120" w:line="240" w:lineRule="auto"/>
        <w:ind w:left="720"/>
        <w:rPr>
          <w:rFonts w:ascii="Verdana" w:hAnsi="Verdana" w:cs="Arial"/>
          <w:color w:val="000000"/>
          <w:sz w:val="20"/>
          <w:szCs w:val="20"/>
        </w:rPr>
      </w:pPr>
      <w:r>
        <w:rPr>
          <w:rFonts w:ascii="Verdana" w:hAnsi="Verdana" w:cs="Arial"/>
          <w:color w:val="000000"/>
          <w:sz w:val="20"/>
          <w:szCs w:val="20"/>
        </w:rPr>
        <w:t>In fact</w:t>
      </w:r>
      <w:r w:rsidR="001A5864">
        <w:rPr>
          <w:rFonts w:ascii="Verdana" w:hAnsi="Verdana" w:cs="Arial"/>
          <w:color w:val="000000"/>
          <w:sz w:val="20"/>
          <w:szCs w:val="20"/>
        </w:rPr>
        <w:t xml:space="preserve">, while </w:t>
      </w:r>
      <w:r>
        <w:rPr>
          <w:rFonts w:ascii="Verdana" w:hAnsi="Verdana" w:cs="Arial"/>
          <w:color w:val="000000"/>
          <w:sz w:val="20"/>
          <w:szCs w:val="20"/>
        </w:rPr>
        <w:t xml:space="preserve">local authorities </w:t>
      </w:r>
      <w:r w:rsidR="001A5864">
        <w:rPr>
          <w:rFonts w:ascii="Verdana" w:hAnsi="Verdana" w:cs="Arial"/>
          <w:color w:val="000000"/>
          <w:sz w:val="20"/>
          <w:szCs w:val="20"/>
        </w:rPr>
        <w:t xml:space="preserve">are in some situations permitted to recharge the cost of carrying out construction works to the ultimate beneficiary, as in scenario (3), local authorities </w:t>
      </w:r>
      <w:r>
        <w:rPr>
          <w:rFonts w:ascii="Verdana" w:hAnsi="Verdana" w:cs="Arial"/>
          <w:color w:val="000000"/>
          <w:sz w:val="20"/>
          <w:szCs w:val="20"/>
        </w:rPr>
        <w:t xml:space="preserve">cannot make any onward supply of construction services </w:t>
      </w:r>
      <w:r w:rsidR="001A5864">
        <w:rPr>
          <w:rFonts w:ascii="Verdana" w:hAnsi="Verdana" w:cs="Arial"/>
          <w:color w:val="000000"/>
          <w:sz w:val="20"/>
          <w:szCs w:val="20"/>
        </w:rPr>
        <w:t xml:space="preserve">by way of a commercial venture as </w:t>
      </w:r>
      <w:r w:rsidR="001A5864" w:rsidRPr="00D7480B">
        <w:rPr>
          <w:rFonts w:ascii="Verdana" w:hAnsi="Verdana" w:cs="Arial"/>
          <w:sz w:val="20"/>
          <w:szCs w:val="20"/>
        </w:rPr>
        <w:t>Section 95 of the Local Government Act 2003</w:t>
      </w:r>
      <w:r w:rsidR="001A5864">
        <w:rPr>
          <w:rFonts w:ascii="Verdana" w:hAnsi="Verdana" w:cs="Arial"/>
          <w:sz w:val="20"/>
          <w:szCs w:val="20"/>
        </w:rPr>
        <w:t xml:space="preserve"> prohibits </w:t>
      </w:r>
      <w:r w:rsidR="00B63236">
        <w:rPr>
          <w:rFonts w:ascii="Verdana" w:hAnsi="Verdana" w:cs="Arial"/>
          <w:sz w:val="20"/>
          <w:szCs w:val="20"/>
        </w:rPr>
        <w:t xml:space="preserve">a </w:t>
      </w:r>
      <w:r w:rsidR="001A5864" w:rsidRPr="00D7480B">
        <w:rPr>
          <w:rFonts w:ascii="Verdana" w:hAnsi="Verdana" w:cs="Arial"/>
          <w:sz w:val="20"/>
          <w:szCs w:val="20"/>
        </w:rPr>
        <w:t xml:space="preserve">local authority </w:t>
      </w:r>
      <w:r w:rsidR="001A5864">
        <w:rPr>
          <w:rFonts w:ascii="Verdana" w:hAnsi="Verdana" w:cs="Arial"/>
          <w:sz w:val="20"/>
          <w:szCs w:val="20"/>
        </w:rPr>
        <w:t xml:space="preserve">from </w:t>
      </w:r>
      <w:r w:rsidR="001A5864" w:rsidRPr="00D7480B">
        <w:rPr>
          <w:rFonts w:ascii="Verdana" w:hAnsi="Verdana" w:cs="Arial"/>
          <w:sz w:val="20"/>
          <w:szCs w:val="20"/>
        </w:rPr>
        <w:t>engag</w:t>
      </w:r>
      <w:r w:rsidR="001A5864">
        <w:rPr>
          <w:rFonts w:ascii="Verdana" w:hAnsi="Verdana" w:cs="Arial"/>
          <w:sz w:val="20"/>
          <w:szCs w:val="20"/>
        </w:rPr>
        <w:t>ing</w:t>
      </w:r>
      <w:r w:rsidR="001A5864" w:rsidRPr="00D7480B">
        <w:rPr>
          <w:rFonts w:ascii="Verdana" w:hAnsi="Verdana" w:cs="Arial"/>
          <w:sz w:val="20"/>
          <w:szCs w:val="20"/>
        </w:rPr>
        <w:t xml:space="preserve"> in trading </w:t>
      </w:r>
      <w:r w:rsidR="001A5864">
        <w:rPr>
          <w:rFonts w:ascii="Verdana" w:hAnsi="Verdana" w:cs="Arial"/>
          <w:sz w:val="20"/>
          <w:szCs w:val="20"/>
        </w:rPr>
        <w:t>with a view to profit (</w:t>
      </w:r>
      <w:r w:rsidR="001A5864" w:rsidRPr="00D7480B">
        <w:rPr>
          <w:rFonts w:ascii="Verdana" w:hAnsi="Verdana"/>
          <w:sz w:val="20"/>
          <w:szCs w:val="20"/>
        </w:rPr>
        <w:t xml:space="preserve">other than by </w:t>
      </w:r>
      <w:r w:rsidR="001A5864" w:rsidRPr="00D7480B">
        <w:rPr>
          <w:rFonts w:ascii="Verdana" w:hAnsi="Verdana" w:cs="Arial"/>
          <w:sz w:val="20"/>
          <w:szCs w:val="20"/>
        </w:rPr>
        <w:t>establish</w:t>
      </w:r>
      <w:r w:rsidR="001A5864" w:rsidRPr="00D7480B">
        <w:rPr>
          <w:rFonts w:ascii="Verdana" w:hAnsi="Verdana"/>
          <w:sz w:val="20"/>
          <w:szCs w:val="20"/>
        </w:rPr>
        <w:t xml:space="preserve">ing </w:t>
      </w:r>
      <w:r w:rsidR="001A5864" w:rsidRPr="00D7480B">
        <w:rPr>
          <w:rFonts w:ascii="Verdana" w:hAnsi="Verdana" w:cs="Arial"/>
          <w:sz w:val="20"/>
          <w:szCs w:val="20"/>
        </w:rPr>
        <w:t>a separate company</w:t>
      </w:r>
      <w:r w:rsidR="001A5864" w:rsidRPr="00D7480B">
        <w:rPr>
          <w:rFonts w:ascii="Verdana" w:hAnsi="Verdana"/>
          <w:sz w:val="20"/>
          <w:szCs w:val="20"/>
        </w:rPr>
        <w:t>, a so-called local authority trading company or ‘</w:t>
      </w:r>
      <w:r w:rsidR="001A5864" w:rsidRPr="00D7480B">
        <w:rPr>
          <w:rFonts w:ascii="Verdana" w:hAnsi="Verdana" w:cs="Arial"/>
          <w:sz w:val="20"/>
          <w:szCs w:val="20"/>
        </w:rPr>
        <w:t>LATC</w:t>
      </w:r>
      <w:r w:rsidR="001A5864" w:rsidRPr="00D7480B">
        <w:rPr>
          <w:rFonts w:ascii="Verdana" w:hAnsi="Verdana"/>
          <w:sz w:val="20"/>
          <w:szCs w:val="20"/>
        </w:rPr>
        <w:t>’</w:t>
      </w:r>
      <w:r w:rsidR="001A5864" w:rsidRPr="00D7480B">
        <w:rPr>
          <w:rFonts w:ascii="Verdana" w:hAnsi="Verdana" w:cs="Arial"/>
          <w:sz w:val="20"/>
          <w:szCs w:val="20"/>
        </w:rPr>
        <w:t xml:space="preserve"> to carry on the trading activity</w:t>
      </w:r>
      <w:r w:rsidR="001A5864">
        <w:rPr>
          <w:rFonts w:ascii="Verdana" w:hAnsi="Verdana" w:cs="Arial"/>
          <w:sz w:val="20"/>
          <w:szCs w:val="20"/>
        </w:rPr>
        <w:t>)</w:t>
      </w:r>
      <w:r w:rsidR="00D7480B" w:rsidRPr="00D7480B">
        <w:rPr>
          <w:rFonts w:ascii="Verdana" w:hAnsi="Verdana" w:cs="Arial"/>
          <w:color w:val="000000"/>
          <w:sz w:val="20"/>
          <w:szCs w:val="20"/>
        </w:rPr>
        <w:t>.</w:t>
      </w:r>
    </w:p>
    <w:p w:rsidR="001A5864" w:rsidRDefault="001A5864" w:rsidP="00D7480B">
      <w:pPr>
        <w:spacing w:after="120"/>
        <w:ind w:left="720"/>
        <w:jc w:val="both"/>
        <w:rPr>
          <w:rFonts w:ascii="Verdana" w:hAnsi="Verdana" w:cs="Arial"/>
          <w:sz w:val="20"/>
          <w:szCs w:val="20"/>
        </w:rPr>
      </w:pPr>
    </w:p>
    <w:p w:rsidR="001A5864" w:rsidRDefault="001A5864" w:rsidP="00D7480B">
      <w:pPr>
        <w:spacing w:after="120"/>
        <w:ind w:left="720"/>
        <w:jc w:val="both"/>
        <w:rPr>
          <w:rFonts w:ascii="Verdana" w:hAnsi="Verdana" w:cs="Arial"/>
          <w:sz w:val="20"/>
          <w:szCs w:val="20"/>
        </w:rPr>
      </w:pPr>
    </w:p>
    <w:p w:rsidR="001A5864" w:rsidRDefault="001A5864" w:rsidP="00D7480B">
      <w:pPr>
        <w:spacing w:after="120"/>
        <w:ind w:left="720"/>
        <w:jc w:val="both"/>
        <w:rPr>
          <w:rFonts w:ascii="Verdana" w:hAnsi="Verdana" w:cs="Arial"/>
          <w:sz w:val="20"/>
          <w:szCs w:val="20"/>
        </w:rPr>
      </w:pPr>
    </w:p>
    <w:p w:rsidR="001A5864" w:rsidRDefault="001A5864" w:rsidP="00D7480B">
      <w:pPr>
        <w:spacing w:after="120"/>
        <w:ind w:left="720"/>
        <w:jc w:val="both"/>
        <w:rPr>
          <w:rFonts w:ascii="Verdana" w:hAnsi="Verdana" w:cs="Arial"/>
          <w:sz w:val="20"/>
          <w:szCs w:val="20"/>
        </w:rPr>
      </w:pPr>
    </w:p>
    <w:p w:rsidR="00D7480B" w:rsidRPr="001A5864" w:rsidRDefault="001A5864" w:rsidP="00D7480B">
      <w:pPr>
        <w:spacing w:after="120"/>
        <w:ind w:left="720"/>
        <w:jc w:val="both"/>
        <w:rPr>
          <w:rFonts w:ascii="Verdana" w:hAnsi="Verdana" w:cs="Arial"/>
          <w:b/>
          <w:i/>
          <w:sz w:val="20"/>
          <w:szCs w:val="20"/>
        </w:rPr>
      </w:pPr>
      <w:r w:rsidRPr="001A5864">
        <w:rPr>
          <w:rFonts w:ascii="Verdana" w:hAnsi="Verdana" w:cs="Arial"/>
          <w:b/>
          <w:i/>
          <w:sz w:val="20"/>
          <w:szCs w:val="20"/>
        </w:rPr>
        <w:lastRenderedPageBreak/>
        <w:t>Further discussions</w:t>
      </w:r>
    </w:p>
    <w:p w:rsidR="002976ED" w:rsidRPr="00D7480B" w:rsidRDefault="001A5864" w:rsidP="00D7480B">
      <w:pPr>
        <w:spacing w:after="120"/>
        <w:ind w:left="720"/>
        <w:jc w:val="both"/>
        <w:rPr>
          <w:rFonts w:ascii="Verdana" w:hAnsi="Verdana" w:cs="Arial"/>
          <w:noProof w:val="0"/>
          <w:sz w:val="20"/>
          <w:szCs w:val="20"/>
        </w:rPr>
      </w:pPr>
      <w:r>
        <w:rPr>
          <w:rFonts w:ascii="Verdana" w:hAnsi="Verdana" w:cs="Arial"/>
          <w:sz w:val="20"/>
          <w:szCs w:val="20"/>
        </w:rPr>
        <w:t>In fact, s</w:t>
      </w:r>
      <w:r w:rsidR="002976ED" w:rsidRPr="00D7480B">
        <w:rPr>
          <w:rFonts w:ascii="Verdana" w:hAnsi="Verdana" w:cs="Arial"/>
          <w:sz w:val="20"/>
          <w:szCs w:val="20"/>
        </w:rPr>
        <w:t xml:space="preserve">ince the meeting on 6 March 2019, </w:t>
      </w:r>
      <w:r>
        <w:rPr>
          <w:rFonts w:ascii="Verdana" w:hAnsi="Verdana" w:cs="Arial"/>
          <w:sz w:val="20"/>
          <w:szCs w:val="20"/>
        </w:rPr>
        <w:t xml:space="preserve">further </w:t>
      </w:r>
      <w:r w:rsidR="002976ED" w:rsidRPr="00D7480B">
        <w:rPr>
          <w:rFonts w:ascii="Verdana" w:hAnsi="Verdana" w:cs="Arial"/>
          <w:sz w:val="20"/>
          <w:szCs w:val="20"/>
        </w:rPr>
        <w:t>discussions with colleagues from other disciplines</w:t>
      </w:r>
      <w:r>
        <w:rPr>
          <w:rFonts w:ascii="Verdana" w:hAnsi="Verdana" w:cs="Arial"/>
          <w:sz w:val="20"/>
          <w:szCs w:val="20"/>
        </w:rPr>
        <w:t xml:space="preserve">, including </w:t>
      </w:r>
      <w:r w:rsidR="002976ED" w:rsidRPr="00D7480B">
        <w:rPr>
          <w:rFonts w:ascii="Verdana" w:hAnsi="Verdana" w:cs="Arial"/>
          <w:sz w:val="20"/>
          <w:szCs w:val="20"/>
        </w:rPr>
        <w:t xml:space="preserve">finance, procurement, regeneration, property services and housing, </w:t>
      </w:r>
      <w:r>
        <w:rPr>
          <w:rFonts w:ascii="Verdana" w:hAnsi="Verdana" w:cs="Arial"/>
          <w:sz w:val="20"/>
          <w:szCs w:val="20"/>
        </w:rPr>
        <w:t xml:space="preserve">have ellicited </w:t>
      </w:r>
      <w:r w:rsidR="002976ED" w:rsidRPr="00D7480B">
        <w:rPr>
          <w:rFonts w:ascii="Verdana" w:hAnsi="Verdana" w:cs="Arial"/>
          <w:sz w:val="20"/>
          <w:szCs w:val="20"/>
        </w:rPr>
        <w:t xml:space="preserve">a number of observations </w:t>
      </w:r>
      <w:r>
        <w:rPr>
          <w:rFonts w:ascii="Verdana" w:hAnsi="Verdana" w:cs="Arial"/>
          <w:sz w:val="20"/>
          <w:szCs w:val="20"/>
        </w:rPr>
        <w:t xml:space="preserve">that reiterate and/or support the above justification for </w:t>
      </w:r>
      <w:r w:rsidR="002976ED" w:rsidRPr="00D7480B">
        <w:rPr>
          <w:rFonts w:ascii="Verdana" w:hAnsi="Verdana" w:cs="Arial"/>
          <w:sz w:val="20"/>
          <w:szCs w:val="20"/>
        </w:rPr>
        <w:t xml:space="preserve">exempting local authorities from the proposed reverse charge. </w:t>
      </w:r>
    </w:p>
    <w:p w:rsidR="002976ED" w:rsidRPr="00D7480B" w:rsidRDefault="00B63236" w:rsidP="001A5864">
      <w:pPr>
        <w:pStyle w:val="ListParagraph"/>
        <w:spacing w:after="120" w:line="240" w:lineRule="auto"/>
        <w:contextualSpacing w:val="0"/>
        <w:jc w:val="both"/>
        <w:rPr>
          <w:rFonts w:ascii="Verdana" w:hAnsi="Verdana"/>
          <w:sz w:val="20"/>
          <w:szCs w:val="20"/>
        </w:rPr>
      </w:pPr>
      <w:r>
        <w:rPr>
          <w:rFonts w:ascii="Verdana" w:hAnsi="Verdana"/>
          <w:sz w:val="20"/>
          <w:szCs w:val="20"/>
        </w:rPr>
        <w:t>First, l</w:t>
      </w:r>
      <w:r w:rsidR="002976ED" w:rsidRPr="00D7480B">
        <w:rPr>
          <w:rFonts w:ascii="Verdana" w:hAnsi="Verdana"/>
          <w:sz w:val="20"/>
          <w:szCs w:val="20"/>
        </w:rPr>
        <w:t xml:space="preserve">ocal authorities </w:t>
      </w:r>
      <w:r>
        <w:rPr>
          <w:rFonts w:ascii="Verdana" w:hAnsi="Verdana"/>
          <w:sz w:val="20"/>
          <w:szCs w:val="20"/>
        </w:rPr>
        <w:t xml:space="preserve">generally only </w:t>
      </w:r>
      <w:r w:rsidR="002976ED" w:rsidRPr="00D7480B">
        <w:rPr>
          <w:rFonts w:ascii="Verdana" w:hAnsi="Verdana"/>
          <w:sz w:val="20"/>
          <w:szCs w:val="20"/>
        </w:rPr>
        <w:t>procure construction services for the purpose of creating, maintaining and enhancing their own assets</w:t>
      </w:r>
      <w:r w:rsidR="001A5864">
        <w:rPr>
          <w:rFonts w:ascii="Verdana" w:hAnsi="Verdana"/>
          <w:sz w:val="20"/>
          <w:szCs w:val="20"/>
        </w:rPr>
        <w:t xml:space="preserve">, </w:t>
      </w:r>
      <w:r w:rsidR="002976ED" w:rsidRPr="00D7480B">
        <w:rPr>
          <w:rFonts w:ascii="Verdana" w:hAnsi="Verdana"/>
          <w:sz w:val="20"/>
          <w:szCs w:val="20"/>
        </w:rPr>
        <w:t xml:space="preserve">assets such as public buildings, council housing, schools, libraries, museums, leisure centres, community centres, etc, as well </w:t>
      </w:r>
      <w:r>
        <w:rPr>
          <w:rFonts w:ascii="Verdana" w:hAnsi="Verdana"/>
          <w:sz w:val="20"/>
          <w:szCs w:val="20"/>
        </w:rPr>
        <w:t xml:space="preserve">as </w:t>
      </w:r>
      <w:r w:rsidR="002976ED" w:rsidRPr="00D7480B">
        <w:rPr>
          <w:rFonts w:ascii="Verdana" w:hAnsi="Verdana"/>
          <w:sz w:val="20"/>
          <w:szCs w:val="20"/>
        </w:rPr>
        <w:t xml:space="preserve">highways and </w:t>
      </w:r>
      <w:proofErr w:type="gramStart"/>
      <w:r w:rsidR="002976ED" w:rsidRPr="00D7480B">
        <w:rPr>
          <w:rFonts w:ascii="Verdana" w:hAnsi="Verdana"/>
          <w:sz w:val="20"/>
          <w:szCs w:val="20"/>
        </w:rPr>
        <w:t>other</w:t>
      </w:r>
      <w:proofErr w:type="gramEnd"/>
      <w:r w:rsidR="002976ED" w:rsidRPr="00D7480B">
        <w:rPr>
          <w:rFonts w:ascii="Verdana" w:hAnsi="Verdana"/>
          <w:sz w:val="20"/>
          <w:szCs w:val="20"/>
        </w:rPr>
        <w:t xml:space="preserve"> public realm works, </w:t>
      </w:r>
      <w:proofErr w:type="spellStart"/>
      <w:r w:rsidR="002976ED" w:rsidRPr="00D7480B">
        <w:rPr>
          <w:rFonts w:ascii="Verdana" w:hAnsi="Verdana"/>
          <w:sz w:val="20"/>
          <w:szCs w:val="20"/>
        </w:rPr>
        <w:t>eg</w:t>
      </w:r>
      <w:proofErr w:type="spellEnd"/>
      <w:r w:rsidR="002976ED" w:rsidRPr="00D7480B">
        <w:rPr>
          <w:rFonts w:ascii="Verdana" w:hAnsi="Verdana"/>
          <w:sz w:val="20"/>
          <w:szCs w:val="20"/>
        </w:rPr>
        <w:t xml:space="preserve"> flood alleviation.  In each case it is clear the local authority is the ‘end user’ or, at worst, </w:t>
      </w:r>
      <w:r w:rsidR="001A5864">
        <w:rPr>
          <w:rFonts w:ascii="Verdana" w:hAnsi="Verdana"/>
          <w:sz w:val="20"/>
          <w:szCs w:val="20"/>
        </w:rPr>
        <w:t xml:space="preserve">is </w:t>
      </w:r>
      <w:r w:rsidR="002976ED" w:rsidRPr="00D7480B">
        <w:rPr>
          <w:rFonts w:ascii="Verdana" w:hAnsi="Verdana"/>
          <w:sz w:val="20"/>
          <w:szCs w:val="20"/>
        </w:rPr>
        <w:t>an intermediary supplier, in terms of the proposed reverse charge.</w:t>
      </w:r>
    </w:p>
    <w:p w:rsidR="002976ED" w:rsidRPr="00D7480B" w:rsidRDefault="00B63236" w:rsidP="001A5864">
      <w:pPr>
        <w:pStyle w:val="ListParagraph"/>
        <w:spacing w:after="120" w:line="240" w:lineRule="auto"/>
        <w:contextualSpacing w:val="0"/>
        <w:jc w:val="both"/>
        <w:rPr>
          <w:rFonts w:ascii="Verdana" w:hAnsi="Verdana"/>
          <w:sz w:val="20"/>
          <w:szCs w:val="20"/>
        </w:rPr>
      </w:pPr>
      <w:r>
        <w:rPr>
          <w:rFonts w:ascii="Verdana" w:hAnsi="Verdana"/>
          <w:sz w:val="20"/>
          <w:szCs w:val="20"/>
        </w:rPr>
        <w:t>Second, most i</w:t>
      </w:r>
      <w:r w:rsidR="002976ED" w:rsidRPr="00D7480B">
        <w:rPr>
          <w:rFonts w:ascii="Verdana" w:hAnsi="Verdana"/>
          <w:sz w:val="20"/>
          <w:szCs w:val="20"/>
        </w:rPr>
        <w:t>mportantly, local authorities do not</w:t>
      </w:r>
      <w:r w:rsidR="001A5864">
        <w:rPr>
          <w:rFonts w:ascii="Verdana" w:hAnsi="Verdana"/>
          <w:sz w:val="20"/>
          <w:szCs w:val="20"/>
        </w:rPr>
        <w:t>, indeed cannot,</w:t>
      </w:r>
      <w:r w:rsidR="002976ED" w:rsidRPr="00D7480B">
        <w:rPr>
          <w:rFonts w:ascii="Verdana" w:hAnsi="Verdana"/>
          <w:sz w:val="20"/>
          <w:szCs w:val="20"/>
        </w:rPr>
        <w:t xml:space="preserve"> supply construction services to any other VAT-registered persons</w:t>
      </w:r>
      <w:r w:rsidR="001A5864">
        <w:rPr>
          <w:rFonts w:ascii="Verdana" w:hAnsi="Verdana"/>
          <w:sz w:val="20"/>
          <w:szCs w:val="20"/>
        </w:rPr>
        <w:t xml:space="preserve"> with a view to profit</w:t>
      </w:r>
      <w:r w:rsidR="002976ED" w:rsidRPr="00D7480B">
        <w:rPr>
          <w:rFonts w:ascii="Verdana" w:hAnsi="Verdana"/>
          <w:sz w:val="20"/>
          <w:szCs w:val="20"/>
        </w:rPr>
        <w:t>.  Whilst there might be an appetite to do so as an income generat</w:t>
      </w:r>
      <w:r w:rsidR="001A5864">
        <w:rPr>
          <w:rFonts w:ascii="Verdana" w:hAnsi="Verdana"/>
          <w:sz w:val="20"/>
          <w:szCs w:val="20"/>
        </w:rPr>
        <w:t>ing activity</w:t>
      </w:r>
      <w:r w:rsidR="002976ED" w:rsidRPr="00D7480B">
        <w:rPr>
          <w:rFonts w:ascii="Verdana" w:hAnsi="Verdana"/>
          <w:sz w:val="20"/>
          <w:szCs w:val="20"/>
        </w:rPr>
        <w:t>, local authorities are pr</w:t>
      </w:r>
      <w:r w:rsidR="001A5864">
        <w:rPr>
          <w:rFonts w:ascii="Verdana" w:hAnsi="Verdana"/>
          <w:sz w:val="20"/>
          <w:szCs w:val="20"/>
        </w:rPr>
        <w:t>ohibit</w:t>
      </w:r>
      <w:r w:rsidR="002976ED" w:rsidRPr="00D7480B">
        <w:rPr>
          <w:rFonts w:ascii="Verdana" w:hAnsi="Verdana"/>
          <w:sz w:val="20"/>
          <w:szCs w:val="20"/>
        </w:rPr>
        <w:t>ed by Section</w:t>
      </w:r>
      <w:r>
        <w:rPr>
          <w:rFonts w:ascii="Verdana" w:hAnsi="Verdana"/>
          <w:sz w:val="20"/>
          <w:szCs w:val="20"/>
        </w:rPr>
        <w:t> </w:t>
      </w:r>
      <w:r w:rsidR="002976ED" w:rsidRPr="00D7480B">
        <w:rPr>
          <w:rFonts w:ascii="Verdana" w:hAnsi="Verdana"/>
          <w:sz w:val="20"/>
          <w:szCs w:val="20"/>
        </w:rPr>
        <w:t>95 of the Local Government Act 2003</w:t>
      </w:r>
      <w:r>
        <w:rPr>
          <w:rFonts w:ascii="Verdana" w:hAnsi="Verdana"/>
          <w:sz w:val="20"/>
          <w:szCs w:val="20"/>
        </w:rPr>
        <w:t xml:space="preserve"> from </w:t>
      </w:r>
      <w:r w:rsidR="002976ED" w:rsidRPr="00D7480B">
        <w:rPr>
          <w:rFonts w:ascii="Verdana" w:hAnsi="Verdana"/>
          <w:sz w:val="20"/>
          <w:szCs w:val="20"/>
        </w:rPr>
        <w:t>engag</w:t>
      </w:r>
      <w:r>
        <w:rPr>
          <w:rFonts w:ascii="Verdana" w:hAnsi="Verdana"/>
          <w:sz w:val="20"/>
          <w:szCs w:val="20"/>
        </w:rPr>
        <w:t>ing</w:t>
      </w:r>
      <w:r w:rsidR="002976ED" w:rsidRPr="00D7480B">
        <w:rPr>
          <w:rFonts w:ascii="Verdana" w:hAnsi="Verdana"/>
          <w:sz w:val="20"/>
          <w:szCs w:val="20"/>
        </w:rPr>
        <w:t xml:space="preserve"> in trading other than by establishing a separate company, a so-called local authority trading company or ‘LATC’</w:t>
      </w:r>
      <w:r w:rsidR="001A5864">
        <w:rPr>
          <w:rFonts w:ascii="Verdana" w:hAnsi="Verdana"/>
          <w:sz w:val="20"/>
          <w:szCs w:val="20"/>
        </w:rPr>
        <w:t>,</w:t>
      </w:r>
      <w:r w:rsidR="002976ED" w:rsidRPr="00D7480B">
        <w:rPr>
          <w:rFonts w:ascii="Verdana" w:hAnsi="Verdana"/>
          <w:sz w:val="20"/>
          <w:szCs w:val="20"/>
        </w:rPr>
        <w:t xml:space="preserve"> to carry on the trading activity</w:t>
      </w:r>
      <w:r w:rsidR="00830549" w:rsidRPr="00D7480B">
        <w:rPr>
          <w:rFonts w:ascii="Verdana" w:hAnsi="Verdana"/>
          <w:sz w:val="20"/>
          <w:szCs w:val="20"/>
        </w:rPr>
        <w:t xml:space="preserve"> (</w:t>
      </w:r>
      <w:r w:rsidR="001A5864">
        <w:rPr>
          <w:rFonts w:ascii="Verdana" w:hAnsi="Verdana"/>
          <w:sz w:val="20"/>
          <w:szCs w:val="20"/>
        </w:rPr>
        <w:t xml:space="preserve">and </w:t>
      </w:r>
      <w:r w:rsidR="00830549" w:rsidRPr="00D7480B">
        <w:rPr>
          <w:rFonts w:ascii="Verdana" w:hAnsi="Verdana"/>
          <w:sz w:val="20"/>
          <w:szCs w:val="20"/>
        </w:rPr>
        <w:t>l</w:t>
      </w:r>
      <w:r w:rsidR="002976ED" w:rsidRPr="00D7480B">
        <w:rPr>
          <w:rFonts w:ascii="Verdana" w:hAnsi="Verdana"/>
          <w:sz w:val="20"/>
          <w:szCs w:val="20"/>
        </w:rPr>
        <w:t xml:space="preserve">ocal </w:t>
      </w:r>
      <w:r w:rsidR="00830549" w:rsidRPr="00D7480B">
        <w:rPr>
          <w:rFonts w:ascii="Verdana" w:hAnsi="Verdana"/>
          <w:sz w:val="20"/>
          <w:szCs w:val="20"/>
        </w:rPr>
        <w:t xml:space="preserve">authorities </w:t>
      </w:r>
      <w:r w:rsidR="002976ED" w:rsidRPr="00D7480B">
        <w:rPr>
          <w:rFonts w:ascii="Verdana" w:hAnsi="Verdana"/>
          <w:sz w:val="20"/>
          <w:szCs w:val="20"/>
        </w:rPr>
        <w:t>have no objection to LATC</w:t>
      </w:r>
      <w:r w:rsidR="00830549" w:rsidRPr="00D7480B">
        <w:rPr>
          <w:rFonts w:ascii="Verdana" w:hAnsi="Verdana"/>
          <w:sz w:val="20"/>
          <w:szCs w:val="20"/>
        </w:rPr>
        <w:t xml:space="preserve">s being required to </w:t>
      </w:r>
      <w:r w:rsidR="002976ED" w:rsidRPr="00D7480B">
        <w:rPr>
          <w:rFonts w:ascii="Verdana" w:hAnsi="Verdana"/>
          <w:sz w:val="20"/>
          <w:szCs w:val="20"/>
        </w:rPr>
        <w:t xml:space="preserve">comply with the </w:t>
      </w:r>
      <w:r w:rsidR="00830549" w:rsidRPr="00D7480B">
        <w:rPr>
          <w:rFonts w:ascii="Verdana" w:hAnsi="Verdana"/>
          <w:sz w:val="20"/>
          <w:szCs w:val="20"/>
        </w:rPr>
        <w:t xml:space="preserve">proposed </w:t>
      </w:r>
      <w:r w:rsidR="002976ED" w:rsidRPr="00D7480B">
        <w:rPr>
          <w:rFonts w:ascii="Verdana" w:hAnsi="Verdana"/>
          <w:sz w:val="20"/>
          <w:szCs w:val="20"/>
        </w:rPr>
        <w:t>reverse charge</w:t>
      </w:r>
      <w:r w:rsidR="00830549" w:rsidRPr="00D7480B">
        <w:rPr>
          <w:rFonts w:ascii="Verdana" w:hAnsi="Verdana"/>
          <w:sz w:val="20"/>
          <w:szCs w:val="20"/>
        </w:rPr>
        <w:t>)</w:t>
      </w:r>
      <w:r w:rsidR="002976ED" w:rsidRPr="00D7480B">
        <w:rPr>
          <w:rFonts w:ascii="Verdana" w:hAnsi="Verdana"/>
          <w:sz w:val="20"/>
          <w:szCs w:val="20"/>
        </w:rPr>
        <w:t xml:space="preserve">. </w:t>
      </w:r>
    </w:p>
    <w:p w:rsidR="002976ED" w:rsidRPr="00D7480B" w:rsidRDefault="00B63236" w:rsidP="001A5864">
      <w:pPr>
        <w:pStyle w:val="ListParagraph"/>
        <w:spacing w:after="120" w:line="240" w:lineRule="auto"/>
        <w:contextualSpacing w:val="0"/>
        <w:jc w:val="both"/>
        <w:rPr>
          <w:rFonts w:ascii="Verdana" w:hAnsi="Verdana"/>
          <w:color w:val="000000" w:themeColor="text1"/>
          <w:sz w:val="20"/>
          <w:szCs w:val="20"/>
        </w:rPr>
      </w:pPr>
      <w:r>
        <w:rPr>
          <w:rFonts w:ascii="Verdana" w:hAnsi="Verdana"/>
          <w:sz w:val="20"/>
          <w:szCs w:val="20"/>
        </w:rPr>
        <w:t>Third, l</w:t>
      </w:r>
      <w:r w:rsidR="00830549" w:rsidRPr="00D7480B">
        <w:rPr>
          <w:rFonts w:ascii="Verdana" w:hAnsi="Verdana"/>
          <w:sz w:val="20"/>
          <w:szCs w:val="20"/>
        </w:rPr>
        <w:t>ocal authorities never e</w:t>
      </w:r>
      <w:r w:rsidR="002976ED" w:rsidRPr="00D7480B">
        <w:rPr>
          <w:rFonts w:ascii="Verdana" w:hAnsi="Verdana"/>
          <w:sz w:val="20"/>
          <w:szCs w:val="20"/>
        </w:rPr>
        <w:t xml:space="preserve">ngage suppliers </w:t>
      </w:r>
      <w:r w:rsidR="00830549" w:rsidRPr="00D7480B">
        <w:rPr>
          <w:rFonts w:ascii="Verdana" w:hAnsi="Verdana"/>
          <w:sz w:val="20"/>
          <w:szCs w:val="20"/>
        </w:rPr>
        <w:t xml:space="preserve">of construction services </w:t>
      </w:r>
      <w:r w:rsidR="002976ED" w:rsidRPr="00D7480B">
        <w:rPr>
          <w:rFonts w:ascii="Verdana" w:hAnsi="Verdana"/>
          <w:sz w:val="20"/>
          <w:szCs w:val="20"/>
        </w:rPr>
        <w:t xml:space="preserve">without first </w:t>
      </w:r>
      <w:r w:rsidR="00830549" w:rsidRPr="00D7480B">
        <w:rPr>
          <w:rFonts w:ascii="Verdana" w:hAnsi="Verdana"/>
          <w:sz w:val="20"/>
          <w:szCs w:val="20"/>
        </w:rPr>
        <w:t>‘</w:t>
      </w:r>
      <w:r w:rsidR="002976ED" w:rsidRPr="00D7480B">
        <w:rPr>
          <w:rFonts w:ascii="Verdana" w:hAnsi="Verdana"/>
          <w:sz w:val="20"/>
          <w:szCs w:val="20"/>
        </w:rPr>
        <w:t>getting to know them</w:t>
      </w:r>
      <w:r w:rsidR="00830549" w:rsidRPr="00D7480B">
        <w:rPr>
          <w:rFonts w:ascii="Verdana" w:hAnsi="Verdana"/>
          <w:sz w:val="20"/>
          <w:szCs w:val="20"/>
        </w:rPr>
        <w:t>’</w:t>
      </w:r>
      <w:r w:rsidR="002976ED" w:rsidRPr="00D7480B">
        <w:rPr>
          <w:rFonts w:ascii="Verdana" w:hAnsi="Verdana"/>
          <w:sz w:val="20"/>
          <w:szCs w:val="20"/>
        </w:rPr>
        <w:t xml:space="preserve">. </w:t>
      </w:r>
      <w:r w:rsidR="00830549" w:rsidRPr="00D7480B">
        <w:rPr>
          <w:rFonts w:ascii="Verdana" w:hAnsi="Verdana"/>
          <w:sz w:val="20"/>
          <w:szCs w:val="20"/>
        </w:rPr>
        <w:t xml:space="preserve"> Local authorities </w:t>
      </w:r>
      <w:r w:rsidR="002976ED" w:rsidRPr="00D7480B">
        <w:rPr>
          <w:rFonts w:ascii="Verdana" w:hAnsi="Verdana"/>
          <w:sz w:val="20"/>
          <w:szCs w:val="20"/>
        </w:rPr>
        <w:t xml:space="preserve">have a structured procurement process </w:t>
      </w:r>
      <w:r w:rsidR="00830549" w:rsidRPr="00D7480B">
        <w:rPr>
          <w:rFonts w:ascii="Verdana" w:hAnsi="Verdana"/>
          <w:sz w:val="20"/>
          <w:szCs w:val="20"/>
        </w:rPr>
        <w:t xml:space="preserve">which they are required to follow </w:t>
      </w:r>
      <w:r w:rsidR="002976ED" w:rsidRPr="00D7480B">
        <w:rPr>
          <w:rFonts w:ascii="Verdana" w:hAnsi="Verdana"/>
          <w:sz w:val="20"/>
          <w:szCs w:val="20"/>
        </w:rPr>
        <w:t xml:space="preserve">whereby </w:t>
      </w:r>
      <w:r w:rsidR="00830549" w:rsidRPr="00D7480B">
        <w:rPr>
          <w:rFonts w:ascii="Verdana" w:hAnsi="Verdana"/>
          <w:sz w:val="20"/>
          <w:szCs w:val="20"/>
        </w:rPr>
        <w:t xml:space="preserve">they </w:t>
      </w:r>
      <w:r w:rsidR="002976ED" w:rsidRPr="00D7480B">
        <w:rPr>
          <w:rFonts w:ascii="Verdana" w:hAnsi="Verdana"/>
          <w:sz w:val="20"/>
          <w:szCs w:val="20"/>
        </w:rPr>
        <w:t xml:space="preserve">check </w:t>
      </w:r>
      <w:r w:rsidR="00830549" w:rsidRPr="00D7480B">
        <w:rPr>
          <w:rFonts w:ascii="Verdana" w:hAnsi="Verdana"/>
          <w:sz w:val="20"/>
          <w:szCs w:val="20"/>
        </w:rPr>
        <w:t xml:space="preserve">any prospective </w:t>
      </w:r>
      <w:r w:rsidR="002976ED" w:rsidRPr="00D7480B">
        <w:rPr>
          <w:rFonts w:ascii="Verdana" w:hAnsi="Verdana"/>
          <w:sz w:val="20"/>
          <w:szCs w:val="20"/>
        </w:rPr>
        <w:t>supplier</w:t>
      </w:r>
      <w:r w:rsidR="00830549" w:rsidRPr="00D7480B">
        <w:rPr>
          <w:rFonts w:ascii="Verdana" w:hAnsi="Verdana"/>
          <w:sz w:val="20"/>
          <w:szCs w:val="20"/>
        </w:rPr>
        <w:t>’</w:t>
      </w:r>
      <w:r w:rsidR="002976ED" w:rsidRPr="00D7480B">
        <w:rPr>
          <w:rFonts w:ascii="Verdana" w:hAnsi="Verdana"/>
          <w:sz w:val="20"/>
          <w:szCs w:val="20"/>
        </w:rPr>
        <w:t>s credentials before engag</w:t>
      </w:r>
      <w:r w:rsidR="001A5864">
        <w:rPr>
          <w:rFonts w:ascii="Verdana" w:hAnsi="Verdana"/>
          <w:sz w:val="20"/>
          <w:szCs w:val="20"/>
        </w:rPr>
        <w:t>ing</w:t>
      </w:r>
      <w:r w:rsidR="002976ED" w:rsidRPr="00D7480B">
        <w:rPr>
          <w:rFonts w:ascii="Verdana" w:hAnsi="Verdana"/>
          <w:sz w:val="20"/>
          <w:szCs w:val="20"/>
        </w:rPr>
        <w:t xml:space="preserve"> </w:t>
      </w:r>
      <w:r w:rsidR="00830549" w:rsidRPr="00D7480B">
        <w:rPr>
          <w:rFonts w:ascii="Verdana" w:hAnsi="Verdana"/>
          <w:sz w:val="20"/>
          <w:szCs w:val="20"/>
        </w:rPr>
        <w:t xml:space="preserve">with </w:t>
      </w:r>
      <w:r w:rsidR="002976ED" w:rsidRPr="00D7480B">
        <w:rPr>
          <w:rFonts w:ascii="Verdana" w:hAnsi="Verdana"/>
          <w:sz w:val="20"/>
          <w:szCs w:val="20"/>
        </w:rPr>
        <w:t xml:space="preserve">them. </w:t>
      </w:r>
      <w:r w:rsidR="00830549" w:rsidRPr="00D7480B">
        <w:rPr>
          <w:rFonts w:ascii="Verdana" w:hAnsi="Verdana"/>
          <w:sz w:val="20"/>
          <w:szCs w:val="20"/>
        </w:rPr>
        <w:t xml:space="preserve"> Typically, p</w:t>
      </w:r>
      <w:r w:rsidR="002976ED" w:rsidRPr="00D7480B">
        <w:rPr>
          <w:rFonts w:ascii="Verdana" w:hAnsi="Verdana"/>
          <w:sz w:val="20"/>
          <w:szCs w:val="20"/>
        </w:rPr>
        <w:t>otential suppliers are required to complete a ‘Selection Questionnaire’</w:t>
      </w:r>
      <w:r w:rsidR="00830549" w:rsidRPr="00D7480B">
        <w:rPr>
          <w:rFonts w:ascii="Verdana" w:hAnsi="Verdana"/>
          <w:sz w:val="20"/>
          <w:szCs w:val="20"/>
        </w:rPr>
        <w:t>, a typical example of which is annexed</w:t>
      </w:r>
      <w:r w:rsidR="001A5864">
        <w:rPr>
          <w:rFonts w:ascii="Verdana" w:hAnsi="Verdana"/>
          <w:sz w:val="20"/>
          <w:szCs w:val="20"/>
        </w:rPr>
        <w:t xml:space="preserve">.  </w:t>
      </w:r>
      <w:r w:rsidR="00830549" w:rsidRPr="00D7480B">
        <w:rPr>
          <w:rFonts w:ascii="Verdana" w:hAnsi="Verdana"/>
          <w:sz w:val="20"/>
          <w:szCs w:val="20"/>
        </w:rPr>
        <w:t xml:space="preserve">Referring to the annexed example, </w:t>
      </w:r>
      <w:proofErr w:type="gramStart"/>
      <w:r w:rsidR="00830549" w:rsidRPr="00D7480B">
        <w:rPr>
          <w:rFonts w:ascii="Verdana" w:hAnsi="Verdana"/>
          <w:sz w:val="20"/>
          <w:szCs w:val="20"/>
        </w:rPr>
        <w:t xml:space="preserve">it is clear </w:t>
      </w:r>
      <w:r>
        <w:rPr>
          <w:rFonts w:ascii="Verdana" w:hAnsi="Verdana"/>
          <w:sz w:val="20"/>
          <w:szCs w:val="20"/>
        </w:rPr>
        <w:t xml:space="preserve">that </w:t>
      </w:r>
      <w:r w:rsidR="00830549" w:rsidRPr="00D7480B">
        <w:rPr>
          <w:rFonts w:ascii="Verdana" w:hAnsi="Verdana"/>
          <w:sz w:val="20"/>
          <w:szCs w:val="20"/>
        </w:rPr>
        <w:t>the</w:t>
      </w:r>
      <w:proofErr w:type="gramEnd"/>
      <w:r w:rsidR="002976ED" w:rsidRPr="00D7480B">
        <w:rPr>
          <w:rFonts w:ascii="Verdana" w:hAnsi="Verdana"/>
          <w:sz w:val="20"/>
          <w:szCs w:val="20"/>
        </w:rPr>
        <w:t xml:space="preserve"> information potential suppliers are required to provide about themselves</w:t>
      </w:r>
      <w:r w:rsidR="00830549" w:rsidRPr="00D7480B">
        <w:rPr>
          <w:rFonts w:ascii="Verdana" w:hAnsi="Verdana"/>
          <w:sz w:val="20"/>
          <w:szCs w:val="20"/>
        </w:rPr>
        <w:t xml:space="preserve"> is in some </w:t>
      </w:r>
      <w:r w:rsidR="002976ED" w:rsidRPr="00D7480B">
        <w:rPr>
          <w:rFonts w:ascii="Verdana" w:hAnsi="Verdana"/>
          <w:sz w:val="20"/>
          <w:szCs w:val="20"/>
        </w:rPr>
        <w:t>depth</w:t>
      </w:r>
      <w:r w:rsidR="001A5864">
        <w:rPr>
          <w:rFonts w:ascii="Verdana" w:hAnsi="Verdana"/>
          <w:sz w:val="20"/>
          <w:szCs w:val="20"/>
        </w:rPr>
        <w:t xml:space="preserve"> and clearly sufficient for the local authority to satisfy itself that the supplier is a bona fide business that meets its public responsibilities, </w:t>
      </w:r>
      <w:proofErr w:type="spellStart"/>
      <w:r w:rsidR="001A5864">
        <w:rPr>
          <w:rFonts w:ascii="Verdana" w:hAnsi="Verdana"/>
          <w:sz w:val="20"/>
          <w:szCs w:val="20"/>
        </w:rPr>
        <w:t>ie</w:t>
      </w:r>
      <w:proofErr w:type="spellEnd"/>
      <w:r w:rsidR="001A5864">
        <w:rPr>
          <w:rFonts w:ascii="Verdana" w:hAnsi="Verdana"/>
          <w:sz w:val="20"/>
          <w:szCs w:val="20"/>
        </w:rPr>
        <w:t xml:space="preserve"> is not engaged in VAT fraud</w:t>
      </w:r>
      <w:r w:rsidR="002976ED" w:rsidRPr="00D7480B">
        <w:rPr>
          <w:rFonts w:ascii="Verdana" w:hAnsi="Verdana"/>
          <w:color w:val="000000" w:themeColor="text1"/>
          <w:sz w:val="20"/>
          <w:szCs w:val="20"/>
        </w:rPr>
        <w:t>.</w:t>
      </w:r>
    </w:p>
    <w:p w:rsidR="00416152" w:rsidRDefault="00416152" w:rsidP="001A5864">
      <w:pPr>
        <w:pStyle w:val="ListParagraph"/>
        <w:spacing w:after="120" w:line="240" w:lineRule="auto"/>
        <w:contextualSpacing w:val="0"/>
        <w:jc w:val="both"/>
        <w:rPr>
          <w:rFonts w:ascii="Verdana" w:hAnsi="Verdana"/>
          <w:sz w:val="20"/>
          <w:szCs w:val="20"/>
        </w:rPr>
      </w:pPr>
    </w:p>
    <w:p w:rsidR="00416152" w:rsidRPr="00416152" w:rsidRDefault="00416152" w:rsidP="001A5864">
      <w:pPr>
        <w:pStyle w:val="ListParagraph"/>
        <w:spacing w:after="120" w:line="240" w:lineRule="auto"/>
        <w:contextualSpacing w:val="0"/>
        <w:jc w:val="both"/>
        <w:rPr>
          <w:rFonts w:ascii="Verdana" w:hAnsi="Verdana"/>
          <w:b/>
          <w:i/>
          <w:sz w:val="20"/>
          <w:szCs w:val="20"/>
        </w:rPr>
      </w:pPr>
      <w:r w:rsidRPr="00416152">
        <w:rPr>
          <w:rFonts w:ascii="Verdana" w:hAnsi="Verdana"/>
          <w:b/>
          <w:i/>
          <w:sz w:val="20"/>
          <w:szCs w:val="20"/>
        </w:rPr>
        <w:t>The administrative burden</w:t>
      </w:r>
    </w:p>
    <w:p w:rsidR="00A841CC" w:rsidRDefault="00830549" w:rsidP="001A5864">
      <w:pPr>
        <w:pStyle w:val="ListParagraph"/>
        <w:spacing w:after="120" w:line="240" w:lineRule="auto"/>
        <w:contextualSpacing w:val="0"/>
        <w:jc w:val="both"/>
        <w:rPr>
          <w:rFonts w:ascii="Verdana" w:hAnsi="Verdana"/>
          <w:sz w:val="20"/>
          <w:szCs w:val="20"/>
        </w:rPr>
      </w:pPr>
      <w:r w:rsidRPr="00D7480B">
        <w:rPr>
          <w:rFonts w:ascii="Verdana" w:hAnsi="Verdana"/>
          <w:sz w:val="20"/>
          <w:szCs w:val="20"/>
        </w:rPr>
        <w:t>Without the exemption sought, local authorities w</w:t>
      </w:r>
      <w:r w:rsidR="002976ED" w:rsidRPr="00D7480B">
        <w:rPr>
          <w:rFonts w:ascii="Verdana" w:hAnsi="Verdana"/>
          <w:sz w:val="20"/>
          <w:szCs w:val="20"/>
        </w:rPr>
        <w:t>ill</w:t>
      </w:r>
      <w:r w:rsidRPr="00D7480B">
        <w:rPr>
          <w:rFonts w:ascii="Verdana" w:hAnsi="Verdana"/>
          <w:sz w:val="20"/>
          <w:szCs w:val="20"/>
        </w:rPr>
        <w:t xml:space="preserve"> have t</w:t>
      </w:r>
      <w:r w:rsidR="002976ED" w:rsidRPr="00D7480B">
        <w:rPr>
          <w:rFonts w:ascii="Verdana" w:hAnsi="Verdana"/>
          <w:sz w:val="20"/>
          <w:szCs w:val="20"/>
        </w:rPr>
        <w:t>o devise a process that stretches across procurement, the service</w:t>
      </w:r>
      <w:r w:rsidRPr="00D7480B">
        <w:rPr>
          <w:rFonts w:ascii="Verdana" w:hAnsi="Verdana"/>
          <w:sz w:val="20"/>
          <w:szCs w:val="20"/>
        </w:rPr>
        <w:t xml:space="preserve"> department</w:t>
      </w:r>
      <w:r w:rsidR="002976ED" w:rsidRPr="00D7480B">
        <w:rPr>
          <w:rFonts w:ascii="Verdana" w:hAnsi="Verdana"/>
          <w:sz w:val="20"/>
          <w:szCs w:val="20"/>
        </w:rPr>
        <w:t>, accounts payable and accounts receivable</w:t>
      </w:r>
      <w:r w:rsidR="00A841CC">
        <w:rPr>
          <w:rFonts w:ascii="Verdana" w:hAnsi="Verdana"/>
          <w:sz w:val="20"/>
          <w:szCs w:val="20"/>
        </w:rPr>
        <w:t xml:space="preserve"> in order to identify those examples of construction procurement that fall outside the scope of the proposed reverse </w:t>
      </w:r>
      <w:proofErr w:type="gramStart"/>
      <w:r w:rsidR="00A841CC">
        <w:rPr>
          <w:rFonts w:ascii="Verdana" w:hAnsi="Verdana"/>
          <w:sz w:val="20"/>
          <w:szCs w:val="20"/>
        </w:rPr>
        <w:t>charge  -</w:t>
      </w:r>
      <w:proofErr w:type="gramEnd"/>
      <w:r w:rsidR="00A841CC">
        <w:rPr>
          <w:rFonts w:ascii="Verdana" w:hAnsi="Verdana"/>
          <w:sz w:val="20"/>
          <w:szCs w:val="20"/>
        </w:rPr>
        <w:t xml:space="preserve">  in practice virtually all such  -  and those that do not  -  in practice almost none</w:t>
      </w:r>
      <w:r w:rsidR="002976ED" w:rsidRPr="00D7480B">
        <w:rPr>
          <w:rFonts w:ascii="Verdana" w:hAnsi="Verdana"/>
          <w:sz w:val="20"/>
          <w:szCs w:val="20"/>
        </w:rPr>
        <w:t>.</w:t>
      </w:r>
      <w:r w:rsidR="00A841CC">
        <w:rPr>
          <w:rFonts w:ascii="Verdana" w:hAnsi="Verdana"/>
          <w:sz w:val="20"/>
          <w:szCs w:val="20"/>
        </w:rPr>
        <w:t xml:space="preserve">  </w:t>
      </w:r>
    </w:p>
    <w:p w:rsidR="00A841CC" w:rsidRDefault="00A841CC" w:rsidP="001A5864">
      <w:pPr>
        <w:pStyle w:val="ListParagraph"/>
        <w:spacing w:after="120" w:line="240" w:lineRule="auto"/>
        <w:contextualSpacing w:val="0"/>
        <w:jc w:val="both"/>
        <w:rPr>
          <w:rFonts w:ascii="Verdana" w:hAnsi="Verdana"/>
          <w:sz w:val="20"/>
          <w:szCs w:val="20"/>
        </w:rPr>
      </w:pPr>
      <w:r>
        <w:rPr>
          <w:rFonts w:ascii="Verdana" w:hAnsi="Verdana"/>
          <w:sz w:val="20"/>
          <w:szCs w:val="20"/>
        </w:rPr>
        <w:t xml:space="preserve">Furthermore, even though almost all examples of construction </w:t>
      </w:r>
      <w:proofErr w:type="gramStart"/>
      <w:r>
        <w:rPr>
          <w:rFonts w:ascii="Verdana" w:hAnsi="Verdana"/>
          <w:sz w:val="20"/>
          <w:szCs w:val="20"/>
        </w:rPr>
        <w:t>works</w:t>
      </w:r>
      <w:proofErr w:type="gramEnd"/>
      <w:r>
        <w:rPr>
          <w:rFonts w:ascii="Verdana" w:hAnsi="Verdana"/>
          <w:sz w:val="20"/>
          <w:szCs w:val="20"/>
        </w:rPr>
        <w:t xml:space="preserve"> procured by local authorities will fall outside the scope of the proposed reverse charge, absent the exemption sought, local authorities will still have to actively determine this and then advise the supplier accordingly, </w:t>
      </w:r>
      <w:proofErr w:type="spellStart"/>
      <w:r>
        <w:rPr>
          <w:rFonts w:ascii="Verdana" w:hAnsi="Verdana"/>
          <w:sz w:val="20"/>
          <w:szCs w:val="20"/>
        </w:rPr>
        <w:t>ie</w:t>
      </w:r>
      <w:proofErr w:type="spellEnd"/>
      <w:r>
        <w:rPr>
          <w:rFonts w:ascii="Verdana" w:hAnsi="Verdana"/>
          <w:sz w:val="20"/>
          <w:szCs w:val="20"/>
        </w:rPr>
        <w:t xml:space="preserve"> ‘do nothing’ will not be an option under the proposed new rules without the exemption sought.</w:t>
      </w:r>
    </w:p>
    <w:p w:rsidR="00B63236" w:rsidRDefault="00830549" w:rsidP="001A5864">
      <w:pPr>
        <w:pStyle w:val="ListParagraph"/>
        <w:spacing w:after="120" w:line="240" w:lineRule="auto"/>
        <w:contextualSpacing w:val="0"/>
        <w:jc w:val="both"/>
        <w:rPr>
          <w:rFonts w:ascii="Verdana" w:hAnsi="Verdana"/>
          <w:sz w:val="20"/>
          <w:szCs w:val="20"/>
        </w:rPr>
      </w:pPr>
      <w:r w:rsidRPr="00D7480B">
        <w:rPr>
          <w:rFonts w:ascii="Verdana" w:hAnsi="Verdana"/>
          <w:sz w:val="20"/>
          <w:szCs w:val="20"/>
        </w:rPr>
        <w:t xml:space="preserve">The key component </w:t>
      </w:r>
      <w:r w:rsidR="00A841CC">
        <w:rPr>
          <w:rFonts w:ascii="Verdana" w:hAnsi="Verdana"/>
          <w:sz w:val="20"/>
          <w:szCs w:val="20"/>
        </w:rPr>
        <w:t xml:space="preserve">in this </w:t>
      </w:r>
      <w:r w:rsidR="002976ED" w:rsidRPr="00D7480B">
        <w:rPr>
          <w:rFonts w:ascii="Verdana" w:hAnsi="Verdana"/>
          <w:sz w:val="20"/>
          <w:szCs w:val="20"/>
        </w:rPr>
        <w:t xml:space="preserve">will be the service </w:t>
      </w:r>
      <w:r w:rsidRPr="00D7480B">
        <w:rPr>
          <w:rFonts w:ascii="Verdana" w:hAnsi="Verdana"/>
          <w:sz w:val="20"/>
          <w:szCs w:val="20"/>
        </w:rPr>
        <w:t>department</w:t>
      </w:r>
      <w:r w:rsidR="00A841CC">
        <w:rPr>
          <w:rFonts w:ascii="Verdana" w:hAnsi="Verdana"/>
          <w:sz w:val="20"/>
          <w:szCs w:val="20"/>
        </w:rPr>
        <w:t>,</w:t>
      </w:r>
      <w:r w:rsidRPr="00D7480B">
        <w:rPr>
          <w:rFonts w:ascii="Verdana" w:hAnsi="Verdana"/>
          <w:sz w:val="20"/>
          <w:szCs w:val="20"/>
        </w:rPr>
        <w:t xml:space="preserve"> as t</w:t>
      </w:r>
      <w:r w:rsidR="002976ED" w:rsidRPr="00D7480B">
        <w:rPr>
          <w:rFonts w:ascii="Verdana" w:hAnsi="Verdana"/>
          <w:sz w:val="20"/>
          <w:szCs w:val="20"/>
        </w:rPr>
        <w:t>hey will need to act as co-ordinator</w:t>
      </w:r>
      <w:r w:rsidRPr="00D7480B">
        <w:rPr>
          <w:rFonts w:ascii="Verdana" w:hAnsi="Verdana"/>
          <w:sz w:val="20"/>
          <w:szCs w:val="20"/>
        </w:rPr>
        <w:t>,</w:t>
      </w:r>
      <w:r w:rsidR="002976ED" w:rsidRPr="00D7480B">
        <w:rPr>
          <w:rFonts w:ascii="Verdana" w:hAnsi="Verdana"/>
          <w:sz w:val="20"/>
          <w:szCs w:val="20"/>
        </w:rPr>
        <w:t xml:space="preserve"> giving instructions to </w:t>
      </w:r>
      <w:r w:rsidRPr="00D7480B">
        <w:rPr>
          <w:rFonts w:ascii="Verdana" w:hAnsi="Verdana"/>
          <w:sz w:val="20"/>
          <w:szCs w:val="20"/>
        </w:rPr>
        <w:t xml:space="preserve">all </w:t>
      </w:r>
      <w:r w:rsidR="002976ED" w:rsidRPr="00D7480B">
        <w:rPr>
          <w:rFonts w:ascii="Verdana" w:hAnsi="Verdana"/>
          <w:sz w:val="20"/>
          <w:szCs w:val="20"/>
        </w:rPr>
        <w:t>the others.</w:t>
      </w:r>
      <w:r w:rsidR="00A841CC">
        <w:rPr>
          <w:rFonts w:ascii="Verdana" w:hAnsi="Verdana"/>
          <w:sz w:val="20"/>
          <w:szCs w:val="20"/>
        </w:rPr>
        <w:t xml:space="preserve">  But the service department will have little or no knowledge of VAT hence there will be a significant educational requirement absent the exemption sought.</w:t>
      </w:r>
      <w:r w:rsidR="002976ED" w:rsidRPr="00D7480B">
        <w:rPr>
          <w:rFonts w:ascii="Verdana" w:hAnsi="Verdana"/>
          <w:sz w:val="20"/>
          <w:szCs w:val="20"/>
        </w:rPr>
        <w:t xml:space="preserve"> </w:t>
      </w:r>
      <w:r w:rsidRPr="00D7480B">
        <w:rPr>
          <w:rFonts w:ascii="Verdana" w:hAnsi="Verdana"/>
          <w:sz w:val="20"/>
          <w:szCs w:val="20"/>
        </w:rPr>
        <w:t xml:space="preserve"> </w:t>
      </w:r>
    </w:p>
    <w:p w:rsidR="00416152" w:rsidRDefault="00A841CC" w:rsidP="001A5864">
      <w:pPr>
        <w:pStyle w:val="ListParagraph"/>
        <w:spacing w:after="120" w:line="240" w:lineRule="auto"/>
        <w:contextualSpacing w:val="0"/>
        <w:jc w:val="both"/>
        <w:rPr>
          <w:rFonts w:ascii="Verdana" w:hAnsi="Verdana"/>
          <w:sz w:val="20"/>
          <w:szCs w:val="20"/>
        </w:rPr>
      </w:pPr>
      <w:r>
        <w:rPr>
          <w:rFonts w:ascii="Verdana" w:hAnsi="Verdana"/>
          <w:sz w:val="20"/>
          <w:szCs w:val="20"/>
        </w:rPr>
        <w:t>And s</w:t>
      </w:r>
      <w:r w:rsidR="00830549" w:rsidRPr="00D7480B">
        <w:rPr>
          <w:rFonts w:ascii="Verdana" w:hAnsi="Verdana"/>
          <w:sz w:val="20"/>
          <w:szCs w:val="20"/>
        </w:rPr>
        <w:t xml:space="preserve">uch a </w:t>
      </w:r>
      <w:r w:rsidR="002976ED" w:rsidRPr="00D7480B">
        <w:rPr>
          <w:rFonts w:ascii="Verdana" w:hAnsi="Verdana"/>
          <w:sz w:val="20"/>
          <w:szCs w:val="20"/>
        </w:rPr>
        <w:t xml:space="preserve">process </w:t>
      </w:r>
      <w:r>
        <w:rPr>
          <w:rFonts w:ascii="Verdana" w:hAnsi="Verdana"/>
          <w:sz w:val="20"/>
          <w:szCs w:val="20"/>
        </w:rPr>
        <w:t xml:space="preserve">to comply with the new rules under the proposed reverse charge </w:t>
      </w:r>
      <w:r w:rsidR="00830549" w:rsidRPr="00D7480B">
        <w:rPr>
          <w:rFonts w:ascii="Verdana" w:hAnsi="Verdana"/>
          <w:sz w:val="20"/>
          <w:szCs w:val="20"/>
        </w:rPr>
        <w:t>would</w:t>
      </w:r>
      <w:r>
        <w:rPr>
          <w:rFonts w:ascii="Verdana" w:hAnsi="Verdana"/>
          <w:sz w:val="20"/>
          <w:szCs w:val="20"/>
        </w:rPr>
        <w:t xml:space="preserve"> </w:t>
      </w:r>
      <w:r w:rsidR="00830549" w:rsidRPr="00D7480B">
        <w:rPr>
          <w:rFonts w:ascii="Verdana" w:hAnsi="Verdana"/>
          <w:sz w:val="20"/>
          <w:szCs w:val="20"/>
        </w:rPr>
        <w:t xml:space="preserve">have to be </w:t>
      </w:r>
      <w:r w:rsidR="002976ED" w:rsidRPr="00D7480B">
        <w:rPr>
          <w:rFonts w:ascii="Verdana" w:hAnsi="Verdana"/>
          <w:sz w:val="20"/>
          <w:szCs w:val="20"/>
        </w:rPr>
        <w:t xml:space="preserve">documented and evidenced as being followed </w:t>
      </w:r>
      <w:proofErr w:type="gramStart"/>
      <w:r w:rsidR="002976ED" w:rsidRPr="00D7480B">
        <w:rPr>
          <w:rFonts w:ascii="Verdana" w:hAnsi="Verdana"/>
          <w:sz w:val="20"/>
          <w:szCs w:val="20"/>
        </w:rPr>
        <w:t>in order to</w:t>
      </w:r>
      <w:proofErr w:type="gramEnd"/>
      <w:r w:rsidR="002976ED" w:rsidRPr="00D7480B">
        <w:rPr>
          <w:rFonts w:ascii="Verdana" w:hAnsi="Verdana"/>
          <w:sz w:val="20"/>
          <w:szCs w:val="20"/>
        </w:rPr>
        <w:t xml:space="preserve"> satisfy</w:t>
      </w:r>
      <w:r w:rsidR="00830549" w:rsidRPr="00D7480B">
        <w:rPr>
          <w:rFonts w:ascii="Verdana" w:hAnsi="Verdana"/>
          <w:sz w:val="20"/>
          <w:szCs w:val="20"/>
        </w:rPr>
        <w:t xml:space="preserve"> both internal and external audit.  </w:t>
      </w:r>
    </w:p>
    <w:p w:rsidR="00416152" w:rsidRDefault="00846148" w:rsidP="001A5864">
      <w:pPr>
        <w:pStyle w:val="ListParagraph"/>
        <w:spacing w:after="120" w:line="240" w:lineRule="auto"/>
        <w:contextualSpacing w:val="0"/>
        <w:jc w:val="both"/>
        <w:rPr>
          <w:rFonts w:ascii="Verdana" w:hAnsi="Verdana"/>
          <w:sz w:val="20"/>
          <w:szCs w:val="20"/>
        </w:rPr>
      </w:pPr>
      <w:r w:rsidRPr="00D7480B">
        <w:rPr>
          <w:rFonts w:ascii="Verdana" w:hAnsi="Verdana"/>
          <w:sz w:val="20"/>
          <w:szCs w:val="20"/>
        </w:rPr>
        <w:t>I</w:t>
      </w:r>
      <w:r w:rsidR="00830549" w:rsidRPr="00D7480B">
        <w:rPr>
          <w:rFonts w:ascii="Verdana" w:hAnsi="Verdana"/>
          <w:sz w:val="20"/>
          <w:szCs w:val="20"/>
        </w:rPr>
        <w:t>n practice</w:t>
      </w:r>
      <w:r w:rsidRPr="00D7480B">
        <w:rPr>
          <w:rFonts w:ascii="Verdana" w:hAnsi="Verdana"/>
          <w:sz w:val="20"/>
          <w:szCs w:val="20"/>
        </w:rPr>
        <w:t xml:space="preserve"> though, as noted above, i</w:t>
      </w:r>
      <w:r w:rsidR="00830549" w:rsidRPr="00D7480B">
        <w:rPr>
          <w:rFonts w:ascii="Verdana" w:hAnsi="Verdana"/>
          <w:sz w:val="20"/>
          <w:szCs w:val="20"/>
        </w:rPr>
        <w:t xml:space="preserve">t is very unlikely </w:t>
      </w:r>
      <w:r w:rsidRPr="00D7480B">
        <w:rPr>
          <w:rFonts w:ascii="Verdana" w:hAnsi="Verdana"/>
          <w:sz w:val="20"/>
          <w:szCs w:val="20"/>
        </w:rPr>
        <w:t>a local authority would ever be procuring construction services as part of a supply chain involving onward supplies to VAT-registered persons</w:t>
      </w:r>
      <w:r w:rsidR="00416152">
        <w:rPr>
          <w:rFonts w:ascii="Verdana" w:hAnsi="Verdana"/>
          <w:sz w:val="20"/>
          <w:szCs w:val="20"/>
        </w:rPr>
        <w:t xml:space="preserve"> and so subject to the reverse charge</w:t>
      </w:r>
      <w:r w:rsidR="002976ED" w:rsidRPr="00D7480B">
        <w:rPr>
          <w:rFonts w:ascii="Verdana" w:hAnsi="Verdana"/>
          <w:sz w:val="20"/>
          <w:szCs w:val="20"/>
        </w:rPr>
        <w:t xml:space="preserve">. </w:t>
      </w:r>
      <w:r w:rsidRPr="00D7480B">
        <w:rPr>
          <w:rFonts w:ascii="Verdana" w:hAnsi="Verdana"/>
          <w:sz w:val="20"/>
          <w:szCs w:val="20"/>
        </w:rPr>
        <w:t xml:space="preserve"> </w:t>
      </w:r>
      <w:r w:rsidR="002976ED" w:rsidRPr="00D7480B">
        <w:rPr>
          <w:rFonts w:ascii="Verdana" w:hAnsi="Verdana"/>
          <w:sz w:val="20"/>
          <w:szCs w:val="20"/>
        </w:rPr>
        <w:t>Th</w:t>
      </w:r>
      <w:r w:rsidRPr="00D7480B">
        <w:rPr>
          <w:rFonts w:ascii="Verdana" w:hAnsi="Verdana"/>
          <w:sz w:val="20"/>
          <w:szCs w:val="20"/>
        </w:rPr>
        <w:t>e consequence then is m</w:t>
      </w:r>
      <w:r w:rsidR="002976ED" w:rsidRPr="00D7480B">
        <w:rPr>
          <w:rFonts w:ascii="Verdana" w:hAnsi="Verdana"/>
          <w:sz w:val="20"/>
          <w:szCs w:val="20"/>
        </w:rPr>
        <w:t>ore administrati</w:t>
      </w:r>
      <w:r w:rsidRPr="00D7480B">
        <w:rPr>
          <w:rFonts w:ascii="Verdana" w:hAnsi="Verdana"/>
          <w:sz w:val="20"/>
          <w:szCs w:val="20"/>
        </w:rPr>
        <w:t xml:space="preserve">ve </w:t>
      </w:r>
      <w:r w:rsidR="002976ED" w:rsidRPr="00D7480B">
        <w:rPr>
          <w:rFonts w:ascii="Verdana" w:hAnsi="Verdana"/>
          <w:sz w:val="20"/>
          <w:szCs w:val="20"/>
        </w:rPr>
        <w:t xml:space="preserve">work for colleagues in </w:t>
      </w:r>
      <w:r w:rsidR="00416152">
        <w:rPr>
          <w:rFonts w:ascii="Verdana" w:hAnsi="Verdana"/>
          <w:sz w:val="20"/>
          <w:szCs w:val="20"/>
        </w:rPr>
        <w:t xml:space="preserve">following </w:t>
      </w:r>
      <w:r w:rsidR="002976ED" w:rsidRPr="00D7480B">
        <w:rPr>
          <w:rFonts w:ascii="Verdana" w:hAnsi="Verdana"/>
          <w:sz w:val="20"/>
          <w:szCs w:val="20"/>
        </w:rPr>
        <w:t xml:space="preserve">the </w:t>
      </w:r>
      <w:r w:rsidR="00416152">
        <w:rPr>
          <w:rFonts w:ascii="Verdana" w:hAnsi="Verdana"/>
          <w:sz w:val="20"/>
          <w:szCs w:val="20"/>
        </w:rPr>
        <w:t xml:space="preserve">required </w:t>
      </w:r>
      <w:r w:rsidR="002976ED" w:rsidRPr="00D7480B">
        <w:rPr>
          <w:rFonts w:ascii="Verdana" w:hAnsi="Verdana"/>
          <w:sz w:val="20"/>
          <w:szCs w:val="20"/>
        </w:rPr>
        <w:t>process</w:t>
      </w:r>
      <w:r w:rsidRPr="00D7480B">
        <w:rPr>
          <w:rFonts w:ascii="Verdana" w:hAnsi="Verdana"/>
          <w:sz w:val="20"/>
          <w:szCs w:val="20"/>
        </w:rPr>
        <w:t>,</w:t>
      </w:r>
      <w:r w:rsidR="002976ED" w:rsidRPr="00D7480B">
        <w:rPr>
          <w:rFonts w:ascii="Verdana" w:hAnsi="Verdana"/>
          <w:sz w:val="20"/>
          <w:szCs w:val="20"/>
        </w:rPr>
        <w:t xml:space="preserve"> because th</w:t>
      </w:r>
      <w:r w:rsidRPr="00D7480B">
        <w:rPr>
          <w:rFonts w:ascii="Verdana" w:hAnsi="Verdana"/>
          <w:sz w:val="20"/>
          <w:szCs w:val="20"/>
        </w:rPr>
        <w:t xml:space="preserve">is </w:t>
      </w:r>
      <w:r w:rsidR="002976ED" w:rsidRPr="00D7480B">
        <w:rPr>
          <w:rFonts w:ascii="Verdana" w:hAnsi="Verdana"/>
          <w:sz w:val="20"/>
          <w:szCs w:val="20"/>
        </w:rPr>
        <w:t>requires the</w:t>
      </w:r>
      <w:r w:rsidRPr="00D7480B">
        <w:rPr>
          <w:rFonts w:ascii="Verdana" w:hAnsi="Verdana"/>
          <w:sz w:val="20"/>
          <w:szCs w:val="20"/>
        </w:rPr>
        <w:t xml:space="preserve">y </w:t>
      </w:r>
      <w:r w:rsidR="002976ED" w:rsidRPr="00D7480B">
        <w:rPr>
          <w:rFonts w:ascii="Verdana" w:hAnsi="Verdana"/>
          <w:sz w:val="20"/>
          <w:szCs w:val="20"/>
        </w:rPr>
        <w:t xml:space="preserve">check </w:t>
      </w:r>
      <w:proofErr w:type="gramStart"/>
      <w:r w:rsidR="002976ED" w:rsidRPr="00D7480B">
        <w:rPr>
          <w:rFonts w:ascii="Verdana" w:hAnsi="Verdana"/>
          <w:sz w:val="20"/>
          <w:szCs w:val="20"/>
        </w:rPr>
        <w:t xml:space="preserve">each </w:t>
      </w:r>
      <w:r w:rsidRPr="00D7480B">
        <w:rPr>
          <w:rFonts w:ascii="Verdana" w:hAnsi="Verdana"/>
          <w:sz w:val="20"/>
          <w:szCs w:val="20"/>
        </w:rPr>
        <w:t>and every</w:t>
      </w:r>
      <w:proofErr w:type="gramEnd"/>
      <w:r w:rsidRPr="00D7480B">
        <w:rPr>
          <w:rFonts w:ascii="Verdana" w:hAnsi="Verdana"/>
          <w:sz w:val="20"/>
          <w:szCs w:val="20"/>
        </w:rPr>
        <w:t xml:space="preserve"> </w:t>
      </w:r>
      <w:r w:rsidR="002976ED" w:rsidRPr="00D7480B">
        <w:rPr>
          <w:rFonts w:ascii="Verdana" w:hAnsi="Verdana"/>
          <w:sz w:val="20"/>
          <w:szCs w:val="20"/>
        </w:rPr>
        <w:t>construction contract</w:t>
      </w:r>
      <w:r w:rsidRPr="00D7480B">
        <w:rPr>
          <w:rFonts w:ascii="Verdana" w:hAnsi="Verdana"/>
          <w:sz w:val="20"/>
          <w:szCs w:val="20"/>
        </w:rPr>
        <w:t xml:space="preserve"> and invoice to see if it might be subject to the reverse charge</w:t>
      </w:r>
      <w:r w:rsidR="00416152">
        <w:rPr>
          <w:rFonts w:ascii="Verdana" w:hAnsi="Verdana"/>
          <w:sz w:val="20"/>
          <w:szCs w:val="20"/>
        </w:rPr>
        <w:t xml:space="preserve"> </w:t>
      </w:r>
      <w:r w:rsidRPr="00D7480B">
        <w:rPr>
          <w:rFonts w:ascii="Verdana" w:hAnsi="Verdana"/>
          <w:sz w:val="20"/>
          <w:szCs w:val="20"/>
        </w:rPr>
        <w:t>and</w:t>
      </w:r>
      <w:r w:rsidR="00416152">
        <w:rPr>
          <w:rFonts w:ascii="Verdana" w:hAnsi="Verdana"/>
          <w:sz w:val="20"/>
          <w:szCs w:val="20"/>
        </w:rPr>
        <w:t xml:space="preserve">, in practice, </w:t>
      </w:r>
      <w:r w:rsidRPr="00D7480B">
        <w:rPr>
          <w:rFonts w:ascii="Verdana" w:hAnsi="Verdana"/>
          <w:sz w:val="20"/>
          <w:szCs w:val="20"/>
        </w:rPr>
        <w:t>confirm that</w:t>
      </w:r>
      <w:r w:rsidR="00416152">
        <w:rPr>
          <w:rFonts w:ascii="Verdana" w:hAnsi="Verdana"/>
          <w:sz w:val="20"/>
          <w:szCs w:val="20"/>
        </w:rPr>
        <w:t xml:space="preserve"> it does not</w:t>
      </w:r>
      <w:r w:rsidR="00A841CC">
        <w:rPr>
          <w:rFonts w:ascii="Verdana" w:hAnsi="Verdana"/>
          <w:sz w:val="20"/>
          <w:szCs w:val="20"/>
        </w:rPr>
        <w:t xml:space="preserve"> and advise the supplier accordingly</w:t>
      </w:r>
      <w:r w:rsidRPr="00D7480B">
        <w:rPr>
          <w:rFonts w:ascii="Verdana" w:hAnsi="Verdana"/>
          <w:sz w:val="20"/>
          <w:szCs w:val="20"/>
        </w:rPr>
        <w:t xml:space="preserve">.  The </w:t>
      </w:r>
      <w:r w:rsidR="00416152">
        <w:rPr>
          <w:rFonts w:ascii="Verdana" w:hAnsi="Verdana"/>
          <w:sz w:val="20"/>
          <w:szCs w:val="20"/>
        </w:rPr>
        <w:t xml:space="preserve">serious </w:t>
      </w:r>
      <w:r w:rsidRPr="00D7480B">
        <w:rPr>
          <w:rFonts w:ascii="Verdana" w:hAnsi="Verdana"/>
          <w:sz w:val="20"/>
          <w:szCs w:val="20"/>
        </w:rPr>
        <w:t>risk this raises is that such near p</w:t>
      </w:r>
      <w:r w:rsidR="002976ED" w:rsidRPr="00D7480B">
        <w:rPr>
          <w:rFonts w:ascii="Verdana" w:hAnsi="Verdana"/>
          <w:sz w:val="20"/>
          <w:szCs w:val="20"/>
        </w:rPr>
        <w:t>ointless processes soon fall into disrepute</w:t>
      </w:r>
      <w:r w:rsidRPr="00D7480B">
        <w:rPr>
          <w:rFonts w:ascii="Verdana" w:hAnsi="Verdana"/>
          <w:sz w:val="20"/>
          <w:szCs w:val="20"/>
        </w:rPr>
        <w:t xml:space="preserve"> and can then not be relied upon</w:t>
      </w:r>
      <w:r w:rsidR="00A841CC">
        <w:rPr>
          <w:rFonts w:ascii="Verdana" w:hAnsi="Verdana"/>
          <w:sz w:val="20"/>
          <w:szCs w:val="20"/>
        </w:rPr>
        <w:t xml:space="preserve"> to be accurate</w:t>
      </w:r>
      <w:r w:rsidR="002976ED" w:rsidRPr="00D7480B">
        <w:rPr>
          <w:rFonts w:ascii="Verdana" w:hAnsi="Verdana"/>
          <w:sz w:val="20"/>
          <w:szCs w:val="20"/>
        </w:rPr>
        <w:t xml:space="preserve">. </w:t>
      </w:r>
      <w:r w:rsidRPr="00D7480B">
        <w:rPr>
          <w:rFonts w:ascii="Verdana" w:hAnsi="Verdana"/>
          <w:sz w:val="20"/>
          <w:szCs w:val="20"/>
        </w:rPr>
        <w:t xml:space="preserve"> </w:t>
      </w:r>
    </w:p>
    <w:p w:rsidR="00B63236" w:rsidRDefault="00416152" w:rsidP="001A5864">
      <w:pPr>
        <w:pStyle w:val="ListParagraph"/>
        <w:spacing w:after="120" w:line="240" w:lineRule="auto"/>
        <w:contextualSpacing w:val="0"/>
        <w:jc w:val="both"/>
        <w:rPr>
          <w:rFonts w:ascii="Verdana" w:hAnsi="Verdana"/>
          <w:sz w:val="20"/>
          <w:szCs w:val="20"/>
        </w:rPr>
      </w:pPr>
      <w:r>
        <w:rPr>
          <w:rFonts w:ascii="Verdana" w:hAnsi="Verdana"/>
          <w:sz w:val="20"/>
          <w:szCs w:val="20"/>
        </w:rPr>
        <w:t xml:space="preserve">Furthermore, </w:t>
      </w:r>
      <w:r w:rsidR="00A841CC">
        <w:rPr>
          <w:rFonts w:ascii="Verdana" w:hAnsi="Verdana"/>
          <w:sz w:val="20"/>
          <w:szCs w:val="20"/>
        </w:rPr>
        <w:t xml:space="preserve">this is against the background of </w:t>
      </w:r>
      <w:r w:rsidR="00846148" w:rsidRPr="00D7480B">
        <w:rPr>
          <w:rFonts w:ascii="Verdana" w:hAnsi="Verdana"/>
          <w:sz w:val="20"/>
          <w:szCs w:val="20"/>
        </w:rPr>
        <w:t xml:space="preserve">local authorities’ </w:t>
      </w:r>
      <w:r w:rsidR="002976ED" w:rsidRPr="00D7480B">
        <w:rPr>
          <w:rFonts w:ascii="Verdana" w:hAnsi="Verdana"/>
          <w:sz w:val="20"/>
          <w:szCs w:val="20"/>
        </w:rPr>
        <w:t>funding be</w:t>
      </w:r>
      <w:r w:rsidR="00A841CC">
        <w:rPr>
          <w:rFonts w:ascii="Verdana" w:hAnsi="Verdana"/>
          <w:sz w:val="20"/>
          <w:szCs w:val="20"/>
        </w:rPr>
        <w:t xml:space="preserve">ing </w:t>
      </w:r>
      <w:r w:rsidR="002976ED" w:rsidRPr="00D7480B">
        <w:rPr>
          <w:rFonts w:ascii="Verdana" w:hAnsi="Verdana"/>
          <w:sz w:val="20"/>
          <w:szCs w:val="20"/>
        </w:rPr>
        <w:t xml:space="preserve">cut year </w:t>
      </w:r>
      <w:r>
        <w:rPr>
          <w:rFonts w:ascii="Verdana" w:hAnsi="Verdana"/>
          <w:sz w:val="20"/>
          <w:szCs w:val="20"/>
        </w:rPr>
        <w:t xml:space="preserve">on </w:t>
      </w:r>
      <w:r w:rsidR="002976ED" w:rsidRPr="00D7480B">
        <w:rPr>
          <w:rFonts w:ascii="Verdana" w:hAnsi="Verdana"/>
          <w:sz w:val="20"/>
          <w:szCs w:val="20"/>
        </w:rPr>
        <w:t>year in real terms</w:t>
      </w:r>
      <w:r w:rsidR="00A841CC">
        <w:rPr>
          <w:rFonts w:ascii="Verdana" w:hAnsi="Verdana"/>
          <w:sz w:val="20"/>
          <w:szCs w:val="20"/>
        </w:rPr>
        <w:t>,</w:t>
      </w:r>
      <w:r w:rsidR="002976ED" w:rsidRPr="00D7480B">
        <w:rPr>
          <w:rFonts w:ascii="Verdana" w:hAnsi="Verdana"/>
          <w:sz w:val="20"/>
          <w:szCs w:val="20"/>
        </w:rPr>
        <w:t xml:space="preserve"> and available resources to meet increasing demands from </w:t>
      </w:r>
      <w:r w:rsidR="00B63236">
        <w:rPr>
          <w:rFonts w:ascii="Verdana" w:hAnsi="Verdana"/>
          <w:sz w:val="20"/>
          <w:szCs w:val="20"/>
        </w:rPr>
        <w:t xml:space="preserve">such services as </w:t>
      </w:r>
      <w:r w:rsidR="002976ED" w:rsidRPr="00D7480B">
        <w:rPr>
          <w:rFonts w:ascii="Verdana" w:hAnsi="Verdana"/>
          <w:sz w:val="20"/>
          <w:szCs w:val="20"/>
        </w:rPr>
        <w:t>children in care and older adults</w:t>
      </w:r>
      <w:r w:rsidR="00846148" w:rsidRPr="00D7480B">
        <w:rPr>
          <w:rFonts w:ascii="Verdana" w:hAnsi="Verdana"/>
          <w:sz w:val="20"/>
          <w:szCs w:val="20"/>
        </w:rPr>
        <w:t xml:space="preserve"> mean</w:t>
      </w:r>
      <w:r w:rsidR="00A841CC">
        <w:rPr>
          <w:rFonts w:ascii="Verdana" w:hAnsi="Verdana"/>
          <w:sz w:val="20"/>
          <w:szCs w:val="20"/>
        </w:rPr>
        <w:t>ing</w:t>
      </w:r>
      <w:r w:rsidR="00846148" w:rsidRPr="00D7480B">
        <w:rPr>
          <w:rFonts w:ascii="Verdana" w:hAnsi="Verdana"/>
          <w:sz w:val="20"/>
          <w:szCs w:val="20"/>
        </w:rPr>
        <w:t xml:space="preserve"> </w:t>
      </w:r>
      <w:r w:rsidR="00B63236">
        <w:rPr>
          <w:rFonts w:ascii="Verdana" w:hAnsi="Verdana"/>
          <w:sz w:val="20"/>
          <w:szCs w:val="20"/>
        </w:rPr>
        <w:t xml:space="preserve">that </w:t>
      </w:r>
      <w:r w:rsidR="00846148" w:rsidRPr="00D7480B">
        <w:rPr>
          <w:rFonts w:ascii="Verdana" w:hAnsi="Verdana"/>
          <w:sz w:val="20"/>
          <w:szCs w:val="20"/>
        </w:rPr>
        <w:t>t</w:t>
      </w:r>
      <w:r w:rsidR="002976ED" w:rsidRPr="00D7480B">
        <w:rPr>
          <w:rFonts w:ascii="Verdana" w:hAnsi="Verdana"/>
          <w:sz w:val="20"/>
          <w:szCs w:val="20"/>
        </w:rPr>
        <w:t xml:space="preserve">he back office has got less </w:t>
      </w:r>
      <w:r w:rsidR="00846148" w:rsidRPr="00D7480B">
        <w:rPr>
          <w:rFonts w:ascii="Verdana" w:hAnsi="Verdana"/>
          <w:sz w:val="20"/>
          <w:szCs w:val="20"/>
        </w:rPr>
        <w:t xml:space="preserve">and less </w:t>
      </w:r>
      <w:r w:rsidR="002976ED" w:rsidRPr="00D7480B">
        <w:rPr>
          <w:rFonts w:ascii="Verdana" w:hAnsi="Verdana"/>
          <w:sz w:val="20"/>
          <w:szCs w:val="20"/>
        </w:rPr>
        <w:t>resource</w:t>
      </w:r>
      <w:r w:rsidR="00846148" w:rsidRPr="00D7480B">
        <w:rPr>
          <w:rFonts w:ascii="Verdana" w:hAnsi="Verdana"/>
          <w:sz w:val="20"/>
          <w:szCs w:val="20"/>
        </w:rPr>
        <w:t xml:space="preserve">.  Local authorities have already had to </w:t>
      </w:r>
      <w:r w:rsidR="002976ED" w:rsidRPr="00D7480B">
        <w:rPr>
          <w:rFonts w:ascii="Verdana" w:hAnsi="Verdana"/>
          <w:sz w:val="20"/>
          <w:szCs w:val="20"/>
        </w:rPr>
        <w:t>accommodate</w:t>
      </w:r>
      <w:r w:rsidR="00846148" w:rsidRPr="00D7480B">
        <w:rPr>
          <w:rFonts w:ascii="Verdana" w:hAnsi="Verdana"/>
          <w:sz w:val="20"/>
          <w:szCs w:val="20"/>
        </w:rPr>
        <w:t xml:space="preserve"> revised rules on engaging workers off-payroll, the so-called ‘</w:t>
      </w:r>
      <w:r w:rsidR="002976ED" w:rsidRPr="00D7480B">
        <w:rPr>
          <w:rFonts w:ascii="Verdana" w:hAnsi="Verdana"/>
          <w:sz w:val="20"/>
          <w:szCs w:val="20"/>
        </w:rPr>
        <w:t>IR35</w:t>
      </w:r>
      <w:r w:rsidR="00846148" w:rsidRPr="00D7480B">
        <w:rPr>
          <w:rFonts w:ascii="Verdana" w:hAnsi="Verdana"/>
          <w:sz w:val="20"/>
          <w:szCs w:val="20"/>
        </w:rPr>
        <w:t xml:space="preserve"> rules’, further </w:t>
      </w:r>
      <w:r w:rsidR="00846148" w:rsidRPr="00D7480B">
        <w:rPr>
          <w:rFonts w:ascii="Verdana" w:hAnsi="Verdana"/>
          <w:sz w:val="20"/>
          <w:szCs w:val="20"/>
        </w:rPr>
        <w:lastRenderedPageBreak/>
        <w:t>changes to which are anticipated from April 2020, as well as M</w:t>
      </w:r>
      <w:r w:rsidR="002976ED" w:rsidRPr="00D7480B">
        <w:rPr>
          <w:rFonts w:ascii="Verdana" w:hAnsi="Verdana"/>
          <w:sz w:val="20"/>
          <w:szCs w:val="20"/>
        </w:rPr>
        <w:t xml:space="preserve">aking </w:t>
      </w:r>
      <w:r w:rsidR="00846148" w:rsidRPr="00D7480B">
        <w:rPr>
          <w:rFonts w:ascii="Verdana" w:hAnsi="Verdana"/>
          <w:sz w:val="20"/>
          <w:szCs w:val="20"/>
        </w:rPr>
        <w:t>T</w:t>
      </w:r>
      <w:r w:rsidR="002976ED" w:rsidRPr="00D7480B">
        <w:rPr>
          <w:rFonts w:ascii="Verdana" w:hAnsi="Verdana"/>
          <w:sz w:val="20"/>
          <w:szCs w:val="20"/>
        </w:rPr>
        <w:t xml:space="preserve">ax </w:t>
      </w:r>
      <w:r w:rsidR="00846148" w:rsidRPr="00D7480B">
        <w:rPr>
          <w:rFonts w:ascii="Verdana" w:hAnsi="Verdana"/>
          <w:sz w:val="20"/>
          <w:szCs w:val="20"/>
        </w:rPr>
        <w:t>D</w:t>
      </w:r>
      <w:r w:rsidR="002976ED" w:rsidRPr="00D7480B">
        <w:rPr>
          <w:rFonts w:ascii="Verdana" w:hAnsi="Verdana"/>
          <w:sz w:val="20"/>
          <w:szCs w:val="20"/>
        </w:rPr>
        <w:t xml:space="preserve">igital for VAT </w:t>
      </w:r>
      <w:r w:rsidR="00846148" w:rsidRPr="00D7480B">
        <w:rPr>
          <w:rFonts w:ascii="Verdana" w:hAnsi="Verdana"/>
          <w:sz w:val="20"/>
          <w:szCs w:val="20"/>
        </w:rPr>
        <w:t xml:space="preserve">from October 2019, with further enhancements thereto also required from next year.  </w:t>
      </w:r>
    </w:p>
    <w:p w:rsidR="002976ED" w:rsidRPr="00D7480B" w:rsidRDefault="00846148" w:rsidP="001A5864">
      <w:pPr>
        <w:pStyle w:val="ListParagraph"/>
        <w:spacing w:after="120" w:line="240" w:lineRule="auto"/>
        <w:contextualSpacing w:val="0"/>
        <w:jc w:val="both"/>
        <w:rPr>
          <w:rFonts w:ascii="Verdana" w:hAnsi="Verdana"/>
          <w:sz w:val="20"/>
          <w:szCs w:val="20"/>
        </w:rPr>
      </w:pPr>
      <w:r w:rsidRPr="00D7480B">
        <w:rPr>
          <w:rFonts w:ascii="Verdana" w:hAnsi="Verdana"/>
          <w:sz w:val="20"/>
          <w:szCs w:val="20"/>
        </w:rPr>
        <w:t xml:space="preserve">There is no </w:t>
      </w:r>
      <w:r w:rsidR="002976ED" w:rsidRPr="00D7480B">
        <w:rPr>
          <w:rFonts w:ascii="Verdana" w:hAnsi="Verdana"/>
          <w:sz w:val="20"/>
          <w:szCs w:val="20"/>
        </w:rPr>
        <w:t>bottomless pit</w:t>
      </w:r>
      <w:r w:rsidRPr="00D7480B">
        <w:rPr>
          <w:rFonts w:ascii="Verdana" w:hAnsi="Verdana"/>
          <w:sz w:val="20"/>
          <w:szCs w:val="20"/>
        </w:rPr>
        <w:t xml:space="preserve"> and if local authorities are further required to </w:t>
      </w:r>
      <w:r w:rsidR="002976ED" w:rsidRPr="00D7480B">
        <w:rPr>
          <w:rFonts w:ascii="Verdana" w:hAnsi="Verdana"/>
          <w:sz w:val="20"/>
          <w:szCs w:val="20"/>
        </w:rPr>
        <w:t xml:space="preserve">accommodate </w:t>
      </w:r>
      <w:r w:rsidRPr="00D7480B">
        <w:rPr>
          <w:rFonts w:ascii="Verdana" w:hAnsi="Verdana"/>
          <w:sz w:val="20"/>
          <w:szCs w:val="20"/>
        </w:rPr>
        <w:t xml:space="preserve">the proposed construction </w:t>
      </w:r>
      <w:r w:rsidR="002976ED" w:rsidRPr="00D7480B">
        <w:rPr>
          <w:rFonts w:ascii="Verdana" w:hAnsi="Verdana"/>
          <w:sz w:val="20"/>
          <w:szCs w:val="20"/>
        </w:rPr>
        <w:t>reverse charge</w:t>
      </w:r>
      <w:r w:rsidRPr="00D7480B">
        <w:rPr>
          <w:rFonts w:ascii="Verdana" w:hAnsi="Verdana"/>
          <w:sz w:val="20"/>
          <w:szCs w:val="20"/>
        </w:rPr>
        <w:t>, it is inevitable that something else will have to be sacrificed, general VAT compliance work perhaps?</w:t>
      </w:r>
    </w:p>
    <w:p w:rsidR="00416152" w:rsidRDefault="00416152" w:rsidP="00D7480B">
      <w:pPr>
        <w:spacing w:after="120"/>
        <w:ind w:left="720"/>
        <w:jc w:val="both"/>
        <w:rPr>
          <w:rFonts w:ascii="Verdana" w:hAnsi="Verdana" w:cs="Arial"/>
          <w:i/>
          <w:sz w:val="20"/>
          <w:szCs w:val="20"/>
        </w:rPr>
      </w:pPr>
    </w:p>
    <w:p w:rsidR="00846148" w:rsidRPr="00416152" w:rsidRDefault="00846148" w:rsidP="00D94431">
      <w:pPr>
        <w:keepNext/>
        <w:spacing w:after="120"/>
        <w:ind w:left="720"/>
        <w:jc w:val="both"/>
        <w:rPr>
          <w:rFonts w:ascii="Verdana" w:hAnsi="Verdana" w:cs="Arial"/>
          <w:b/>
          <w:i/>
          <w:sz w:val="20"/>
          <w:szCs w:val="20"/>
        </w:rPr>
      </w:pPr>
      <w:r w:rsidRPr="00416152">
        <w:rPr>
          <w:rFonts w:ascii="Verdana" w:hAnsi="Verdana" w:cs="Arial"/>
          <w:b/>
          <w:i/>
          <w:sz w:val="20"/>
          <w:szCs w:val="20"/>
        </w:rPr>
        <w:t>Conclusion</w:t>
      </w:r>
    </w:p>
    <w:p w:rsidR="00846148" w:rsidRPr="00D7480B" w:rsidRDefault="002976ED" w:rsidP="00D7480B">
      <w:pPr>
        <w:spacing w:after="120"/>
        <w:ind w:left="720"/>
        <w:jc w:val="both"/>
        <w:rPr>
          <w:rFonts w:ascii="Verdana" w:hAnsi="Verdana" w:cs="Arial"/>
          <w:color w:val="000000" w:themeColor="text1"/>
          <w:sz w:val="20"/>
          <w:szCs w:val="20"/>
        </w:rPr>
      </w:pPr>
      <w:r w:rsidRPr="00D7480B">
        <w:rPr>
          <w:rFonts w:ascii="Verdana" w:hAnsi="Verdana" w:cs="Arial"/>
          <w:color w:val="000000" w:themeColor="text1"/>
          <w:sz w:val="20"/>
          <w:szCs w:val="20"/>
        </w:rPr>
        <w:t xml:space="preserve">It </w:t>
      </w:r>
      <w:r w:rsidR="00846148" w:rsidRPr="00D7480B">
        <w:rPr>
          <w:rFonts w:ascii="Verdana" w:hAnsi="Verdana" w:cs="Arial"/>
          <w:color w:val="000000" w:themeColor="text1"/>
          <w:sz w:val="20"/>
          <w:szCs w:val="20"/>
        </w:rPr>
        <w:t>is apparent</w:t>
      </w:r>
      <w:r w:rsidRPr="00D7480B">
        <w:rPr>
          <w:rFonts w:ascii="Verdana" w:hAnsi="Verdana" w:cs="Arial"/>
          <w:color w:val="000000" w:themeColor="text1"/>
          <w:sz w:val="20"/>
          <w:szCs w:val="20"/>
        </w:rPr>
        <w:t xml:space="preserve"> from the above that there is</w:t>
      </w:r>
      <w:r w:rsidR="00846148" w:rsidRPr="00D7480B">
        <w:rPr>
          <w:rFonts w:ascii="Verdana" w:hAnsi="Verdana" w:cs="Arial"/>
          <w:color w:val="000000" w:themeColor="text1"/>
          <w:sz w:val="20"/>
          <w:szCs w:val="20"/>
        </w:rPr>
        <w:t>,</w:t>
      </w:r>
      <w:r w:rsidRPr="00D7480B">
        <w:rPr>
          <w:rFonts w:ascii="Verdana" w:hAnsi="Verdana" w:cs="Arial"/>
          <w:color w:val="000000" w:themeColor="text1"/>
          <w:sz w:val="20"/>
          <w:szCs w:val="20"/>
        </w:rPr>
        <w:t xml:space="preserve"> </w:t>
      </w:r>
      <w:r w:rsidR="00846148" w:rsidRPr="00D7480B">
        <w:rPr>
          <w:rFonts w:ascii="Verdana" w:hAnsi="Verdana" w:cs="Arial"/>
          <w:color w:val="000000" w:themeColor="text1"/>
          <w:sz w:val="20"/>
          <w:szCs w:val="20"/>
        </w:rPr>
        <w:t xml:space="preserve">in practice, </w:t>
      </w:r>
      <w:r w:rsidRPr="00D7480B">
        <w:rPr>
          <w:rFonts w:ascii="Verdana" w:hAnsi="Verdana" w:cs="Arial"/>
          <w:color w:val="000000" w:themeColor="text1"/>
          <w:sz w:val="20"/>
          <w:szCs w:val="20"/>
        </w:rPr>
        <w:t xml:space="preserve">very little risk to HMRC in exempting </w:t>
      </w:r>
      <w:r w:rsidR="00846148" w:rsidRPr="00D7480B">
        <w:rPr>
          <w:rFonts w:ascii="Verdana" w:hAnsi="Verdana" w:cs="Arial"/>
          <w:color w:val="000000" w:themeColor="text1"/>
          <w:sz w:val="20"/>
          <w:szCs w:val="20"/>
        </w:rPr>
        <w:t xml:space="preserve">local authorities </w:t>
      </w:r>
      <w:r w:rsidRPr="00D7480B">
        <w:rPr>
          <w:rFonts w:ascii="Verdana" w:hAnsi="Verdana" w:cs="Arial"/>
          <w:color w:val="000000" w:themeColor="text1"/>
          <w:sz w:val="20"/>
          <w:szCs w:val="20"/>
        </w:rPr>
        <w:t xml:space="preserve">from </w:t>
      </w:r>
      <w:r w:rsidR="00846148" w:rsidRPr="00D7480B">
        <w:rPr>
          <w:rFonts w:ascii="Verdana" w:hAnsi="Verdana" w:cs="Arial"/>
          <w:color w:val="000000" w:themeColor="text1"/>
          <w:sz w:val="20"/>
          <w:szCs w:val="20"/>
        </w:rPr>
        <w:t xml:space="preserve">the proposed </w:t>
      </w:r>
      <w:r w:rsidRPr="00D7480B">
        <w:rPr>
          <w:rFonts w:ascii="Verdana" w:hAnsi="Verdana" w:cs="Arial"/>
          <w:color w:val="000000" w:themeColor="text1"/>
          <w:sz w:val="20"/>
          <w:szCs w:val="20"/>
        </w:rPr>
        <w:t>reverse charge</w:t>
      </w:r>
      <w:r w:rsidR="00846148" w:rsidRPr="00D7480B">
        <w:rPr>
          <w:rFonts w:ascii="Verdana" w:hAnsi="Verdana" w:cs="Arial"/>
          <w:color w:val="000000" w:themeColor="text1"/>
          <w:sz w:val="20"/>
          <w:szCs w:val="20"/>
        </w:rPr>
        <w:t xml:space="preserve"> for construction services</w:t>
      </w:r>
      <w:r w:rsidRPr="00D7480B">
        <w:rPr>
          <w:rFonts w:ascii="Verdana" w:hAnsi="Verdana" w:cs="Arial"/>
          <w:color w:val="000000" w:themeColor="text1"/>
          <w:sz w:val="20"/>
          <w:szCs w:val="20"/>
        </w:rPr>
        <w:t>.</w:t>
      </w:r>
    </w:p>
    <w:p w:rsidR="00416152" w:rsidRDefault="00846148" w:rsidP="00D7480B">
      <w:pPr>
        <w:spacing w:after="120"/>
        <w:ind w:left="720"/>
        <w:jc w:val="both"/>
        <w:rPr>
          <w:rFonts w:ascii="Verdana" w:hAnsi="Verdana"/>
          <w:color w:val="000000" w:themeColor="text1"/>
          <w:sz w:val="20"/>
          <w:szCs w:val="20"/>
        </w:rPr>
      </w:pPr>
      <w:r w:rsidRPr="00D7480B">
        <w:rPr>
          <w:rFonts w:ascii="Verdana" w:hAnsi="Verdana"/>
          <w:color w:val="000000" w:themeColor="text1"/>
          <w:sz w:val="20"/>
          <w:szCs w:val="20"/>
        </w:rPr>
        <w:t>To reiterate, local authorities do not o</w:t>
      </w:r>
      <w:r w:rsidR="002976ED" w:rsidRPr="00D7480B">
        <w:rPr>
          <w:rFonts w:ascii="Verdana" w:hAnsi="Verdana"/>
          <w:color w:val="000000" w:themeColor="text1"/>
          <w:sz w:val="20"/>
          <w:szCs w:val="20"/>
        </w:rPr>
        <w:t>rdinarily sit within a supply chain of the type envisaged by the proposed legislation</w:t>
      </w:r>
      <w:r w:rsidRPr="00D7480B">
        <w:rPr>
          <w:rFonts w:ascii="Verdana" w:hAnsi="Verdana"/>
          <w:color w:val="000000" w:themeColor="text1"/>
          <w:sz w:val="20"/>
          <w:szCs w:val="20"/>
        </w:rPr>
        <w:t xml:space="preserve">;  specifically local authorities are statutorily </w:t>
      </w:r>
      <w:r w:rsidR="002976ED" w:rsidRPr="00D7480B">
        <w:rPr>
          <w:rFonts w:ascii="Verdana" w:hAnsi="Verdana"/>
          <w:color w:val="000000" w:themeColor="text1"/>
          <w:sz w:val="20"/>
          <w:szCs w:val="20"/>
        </w:rPr>
        <w:t>pr</w:t>
      </w:r>
      <w:r w:rsidRPr="00D7480B">
        <w:rPr>
          <w:rFonts w:ascii="Verdana" w:hAnsi="Verdana"/>
          <w:color w:val="000000" w:themeColor="text1"/>
          <w:sz w:val="20"/>
          <w:szCs w:val="20"/>
        </w:rPr>
        <w:t>ohibit</w:t>
      </w:r>
      <w:r w:rsidR="002976ED" w:rsidRPr="00D7480B">
        <w:rPr>
          <w:rFonts w:ascii="Verdana" w:hAnsi="Verdana"/>
          <w:color w:val="000000" w:themeColor="text1"/>
          <w:sz w:val="20"/>
          <w:szCs w:val="20"/>
        </w:rPr>
        <w:t>ed from trading</w:t>
      </w:r>
      <w:r w:rsidR="00416152">
        <w:rPr>
          <w:rFonts w:ascii="Verdana" w:hAnsi="Verdana"/>
          <w:color w:val="000000" w:themeColor="text1"/>
          <w:sz w:val="20"/>
          <w:szCs w:val="20"/>
        </w:rPr>
        <w:t xml:space="preserve"> and, therefore, cannot onward supply construction services procured with a view to generating a profit</w:t>
      </w:r>
      <w:r w:rsidRPr="00D7480B">
        <w:rPr>
          <w:rFonts w:ascii="Verdana" w:hAnsi="Verdana"/>
          <w:color w:val="000000" w:themeColor="text1"/>
          <w:sz w:val="20"/>
          <w:szCs w:val="20"/>
        </w:rPr>
        <w:t>.</w:t>
      </w:r>
    </w:p>
    <w:p w:rsidR="00A63B9A" w:rsidRPr="00D7480B" w:rsidRDefault="00416152" w:rsidP="00D7480B">
      <w:pPr>
        <w:spacing w:after="120"/>
        <w:ind w:left="720"/>
        <w:jc w:val="both"/>
        <w:rPr>
          <w:rFonts w:ascii="Verdana" w:hAnsi="Verdana"/>
          <w:color w:val="000000" w:themeColor="text1"/>
          <w:sz w:val="20"/>
          <w:szCs w:val="20"/>
        </w:rPr>
      </w:pPr>
      <w:r>
        <w:rPr>
          <w:rFonts w:ascii="Verdana" w:hAnsi="Verdana"/>
          <w:color w:val="000000" w:themeColor="text1"/>
          <w:sz w:val="20"/>
          <w:szCs w:val="20"/>
        </w:rPr>
        <w:t>In any case, l</w:t>
      </w:r>
      <w:r w:rsidR="00846148" w:rsidRPr="00D7480B">
        <w:rPr>
          <w:rFonts w:ascii="Verdana" w:hAnsi="Verdana"/>
          <w:color w:val="000000" w:themeColor="text1"/>
          <w:sz w:val="20"/>
          <w:szCs w:val="20"/>
        </w:rPr>
        <w:t xml:space="preserve">ocal authorities have extensive robust </w:t>
      </w:r>
      <w:r w:rsidR="002976ED" w:rsidRPr="00D7480B">
        <w:rPr>
          <w:rFonts w:ascii="Verdana" w:hAnsi="Verdana"/>
          <w:color w:val="000000" w:themeColor="text1"/>
          <w:sz w:val="20"/>
          <w:szCs w:val="20"/>
        </w:rPr>
        <w:t xml:space="preserve">procedures to verify the credibility of </w:t>
      </w:r>
      <w:r w:rsidR="00846148" w:rsidRPr="00D7480B">
        <w:rPr>
          <w:rFonts w:ascii="Verdana" w:hAnsi="Verdana"/>
          <w:color w:val="000000" w:themeColor="text1"/>
          <w:sz w:val="20"/>
          <w:szCs w:val="20"/>
        </w:rPr>
        <w:t xml:space="preserve">their </w:t>
      </w:r>
      <w:r w:rsidR="002976ED" w:rsidRPr="00D7480B">
        <w:rPr>
          <w:rFonts w:ascii="Verdana" w:hAnsi="Verdana"/>
          <w:color w:val="000000" w:themeColor="text1"/>
          <w:sz w:val="20"/>
          <w:szCs w:val="20"/>
        </w:rPr>
        <w:t>suppliers</w:t>
      </w:r>
      <w:r w:rsidR="00846148" w:rsidRPr="00D7480B">
        <w:rPr>
          <w:rFonts w:ascii="Verdana" w:hAnsi="Verdana"/>
          <w:color w:val="000000" w:themeColor="text1"/>
          <w:sz w:val="20"/>
          <w:szCs w:val="20"/>
        </w:rPr>
        <w:t xml:space="preserve">, suggesting the latter’s involvement in supply chain fraud of the sort the proposed reverse charge is </w:t>
      </w:r>
      <w:r w:rsidR="00A63B9A" w:rsidRPr="00D7480B">
        <w:rPr>
          <w:rFonts w:ascii="Verdana" w:hAnsi="Verdana"/>
          <w:color w:val="000000" w:themeColor="text1"/>
          <w:sz w:val="20"/>
          <w:szCs w:val="20"/>
        </w:rPr>
        <w:t>aimed to prevent, is extremely unlikely.</w:t>
      </w:r>
    </w:p>
    <w:p w:rsidR="00A63B9A" w:rsidRPr="00D7480B" w:rsidRDefault="00A63B9A" w:rsidP="00D7480B">
      <w:pPr>
        <w:spacing w:after="120"/>
        <w:ind w:left="720"/>
        <w:jc w:val="both"/>
        <w:rPr>
          <w:rFonts w:ascii="Verdana" w:hAnsi="Verdana" w:cs="Arial"/>
          <w:color w:val="000000" w:themeColor="text1"/>
          <w:sz w:val="20"/>
          <w:szCs w:val="20"/>
        </w:rPr>
      </w:pPr>
      <w:r w:rsidRPr="00D7480B">
        <w:rPr>
          <w:rFonts w:ascii="Verdana" w:hAnsi="Verdana"/>
          <w:color w:val="000000" w:themeColor="text1"/>
          <w:sz w:val="20"/>
          <w:szCs w:val="20"/>
        </w:rPr>
        <w:t xml:space="preserve">Conversely, without the exemption sought, </w:t>
      </w:r>
      <w:r w:rsidR="002976ED" w:rsidRPr="00D7480B">
        <w:rPr>
          <w:rFonts w:ascii="Verdana" w:hAnsi="Verdana" w:cs="Arial"/>
          <w:color w:val="000000" w:themeColor="text1"/>
          <w:sz w:val="20"/>
          <w:szCs w:val="20"/>
        </w:rPr>
        <w:t xml:space="preserve">there will be a substantial </w:t>
      </w:r>
      <w:r w:rsidRPr="00D7480B">
        <w:rPr>
          <w:rFonts w:ascii="Verdana" w:hAnsi="Verdana" w:cs="Arial"/>
          <w:color w:val="000000" w:themeColor="text1"/>
          <w:sz w:val="20"/>
          <w:szCs w:val="20"/>
        </w:rPr>
        <w:t xml:space="preserve">additional </w:t>
      </w:r>
      <w:r w:rsidR="002976ED" w:rsidRPr="00D7480B">
        <w:rPr>
          <w:rFonts w:ascii="Verdana" w:hAnsi="Verdana" w:cs="Arial"/>
          <w:color w:val="000000" w:themeColor="text1"/>
          <w:sz w:val="20"/>
          <w:szCs w:val="20"/>
        </w:rPr>
        <w:t xml:space="preserve">workload placed on </w:t>
      </w:r>
      <w:r w:rsidRPr="00D7480B">
        <w:rPr>
          <w:rFonts w:ascii="Verdana" w:hAnsi="Verdana" w:cs="Arial"/>
          <w:color w:val="000000" w:themeColor="text1"/>
          <w:sz w:val="20"/>
          <w:szCs w:val="20"/>
        </w:rPr>
        <w:t xml:space="preserve">local authorities in the need </w:t>
      </w:r>
      <w:r w:rsidR="002976ED" w:rsidRPr="00D7480B">
        <w:rPr>
          <w:rFonts w:ascii="Verdana" w:hAnsi="Verdana" w:cs="Arial"/>
          <w:color w:val="000000" w:themeColor="text1"/>
          <w:sz w:val="20"/>
          <w:szCs w:val="20"/>
        </w:rPr>
        <w:t xml:space="preserve">to administer what </w:t>
      </w:r>
      <w:r w:rsidRPr="00D7480B">
        <w:rPr>
          <w:rFonts w:ascii="Verdana" w:hAnsi="Verdana" w:cs="Arial"/>
          <w:color w:val="000000" w:themeColor="text1"/>
          <w:sz w:val="20"/>
          <w:szCs w:val="20"/>
        </w:rPr>
        <w:t xml:space="preserve">in all likelihood </w:t>
      </w:r>
      <w:r w:rsidR="00416152">
        <w:rPr>
          <w:rFonts w:ascii="Verdana" w:hAnsi="Verdana" w:cs="Arial"/>
          <w:color w:val="000000" w:themeColor="text1"/>
          <w:sz w:val="20"/>
          <w:szCs w:val="20"/>
        </w:rPr>
        <w:t xml:space="preserve">will </w:t>
      </w:r>
      <w:r w:rsidR="002976ED" w:rsidRPr="00D7480B">
        <w:rPr>
          <w:rFonts w:ascii="Verdana" w:hAnsi="Verdana" w:cs="Arial"/>
          <w:color w:val="000000" w:themeColor="text1"/>
          <w:sz w:val="20"/>
          <w:szCs w:val="20"/>
        </w:rPr>
        <w:t xml:space="preserve">be a fruitless process. </w:t>
      </w:r>
    </w:p>
    <w:p w:rsidR="005E2E9F" w:rsidRPr="00D7480B" w:rsidRDefault="00A63B9A" w:rsidP="00D7480B">
      <w:pPr>
        <w:spacing w:after="120"/>
        <w:ind w:left="720"/>
        <w:jc w:val="both"/>
        <w:rPr>
          <w:rFonts w:ascii="Verdana" w:hAnsi="Verdana" w:cs="Arial"/>
          <w:color w:val="000000" w:themeColor="text1"/>
          <w:sz w:val="20"/>
          <w:szCs w:val="20"/>
        </w:rPr>
      </w:pPr>
      <w:r w:rsidRPr="00D7480B">
        <w:rPr>
          <w:rFonts w:ascii="Verdana" w:hAnsi="Verdana" w:cs="Arial"/>
          <w:color w:val="000000" w:themeColor="text1"/>
          <w:sz w:val="20"/>
          <w:szCs w:val="20"/>
        </w:rPr>
        <w:t xml:space="preserve">Local authorities, </w:t>
      </w:r>
      <w:r w:rsidR="002976ED" w:rsidRPr="00D7480B">
        <w:rPr>
          <w:rFonts w:ascii="Verdana" w:hAnsi="Verdana" w:cs="Arial"/>
          <w:color w:val="000000" w:themeColor="text1"/>
          <w:sz w:val="20"/>
          <w:szCs w:val="20"/>
        </w:rPr>
        <w:t>therefore</w:t>
      </w:r>
      <w:r w:rsidRPr="00D7480B">
        <w:rPr>
          <w:rFonts w:ascii="Verdana" w:hAnsi="Verdana" w:cs="Arial"/>
          <w:color w:val="000000" w:themeColor="text1"/>
          <w:sz w:val="20"/>
          <w:szCs w:val="20"/>
        </w:rPr>
        <w:t xml:space="preserve">, seek a </w:t>
      </w:r>
      <w:r w:rsidR="002976ED" w:rsidRPr="00D7480B">
        <w:rPr>
          <w:rFonts w:ascii="Verdana" w:hAnsi="Verdana" w:cs="Arial"/>
          <w:color w:val="000000" w:themeColor="text1"/>
          <w:sz w:val="20"/>
          <w:szCs w:val="20"/>
        </w:rPr>
        <w:t xml:space="preserve">pragmatic solution akin to </w:t>
      </w:r>
      <w:r w:rsidRPr="00D7480B">
        <w:rPr>
          <w:rFonts w:ascii="Verdana" w:hAnsi="Verdana" w:cs="Arial"/>
          <w:color w:val="000000" w:themeColor="text1"/>
          <w:sz w:val="20"/>
          <w:szCs w:val="20"/>
        </w:rPr>
        <w:t xml:space="preserve">that which was agreed </w:t>
      </w:r>
      <w:r w:rsidR="002976ED" w:rsidRPr="00D7480B">
        <w:rPr>
          <w:rFonts w:ascii="Verdana" w:hAnsi="Verdana" w:cs="Arial"/>
          <w:color w:val="000000" w:themeColor="text1"/>
          <w:sz w:val="20"/>
          <w:szCs w:val="20"/>
        </w:rPr>
        <w:t xml:space="preserve">some years ago </w:t>
      </w:r>
      <w:r w:rsidRPr="00D7480B">
        <w:rPr>
          <w:rFonts w:ascii="Verdana" w:hAnsi="Verdana" w:cs="Arial"/>
          <w:color w:val="000000" w:themeColor="text1"/>
          <w:sz w:val="20"/>
          <w:szCs w:val="20"/>
        </w:rPr>
        <w:t xml:space="preserve">in respect of </w:t>
      </w:r>
      <w:r w:rsidR="002976ED" w:rsidRPr="00D7480B">
        <w:rPr>
          <w:rFonts w:ascii="Verdana" w:hAnsi="Verdana" w:cs="Arial"/>
          <w:color w:val="000000" w:themeColor="text1"/>
          <w:sz w:val="20"/>
          <w:szCs w:val="20"/>
        </w:rPr>
        <w:t xml:space="preserve">schools and </w:t>
      </w:r>
      <w:r w:rsidRPr="00D7480B">
        <w:rPr>
          <w:rFonts w:ascii="Verdana" w:hAnsi="Verdana" w:cs="Arial"/>
          <w:color w:val="000000" w:themeColor="text1"/>
          <w:sz w:val="20"/>
          <w:szCs w:val="20"/>
        </w:rPr>
        <w:t>the Construction Industry Scheme (CIS).  There, following discussion with HMRC and Governmemnt more widely, it was agreed that s</w:t>
      </w:r>
      <w:r w:rsidR="002976ED" w:rsidRPr="00D7480B">
        <w:rPr>
          <w:rFonts w:ascii="Verdana" w:hAnsi="Verdana" w:cs="Arial"/>
          <w:color w:val="000000" w:themeColor="text1"/>
          <w:sz w:val="20"/>
          <w:szCs w:val="20"/>
        </w:rPr>
        <w:t xml:space="preserve">chools </w:t>
      </w:r>
      <w:r w:rsidRPr="00D7480B">
        <w:rPr>
          <w:rFonts w:ascii="Verdana" w:hAnsi="Verdana" w:cs="Arial"/>
          <w:color w:val="000000" w:themeColor="text1"/>
          <w:sz w:val="20"/>
          <w:szCs w:val="20"/>
        </w:rPr>
        <w:t xml:space="preserve">could be </w:t>
      </w:r>
      <w:r w:rsidR="002976ED" w:rsidRPr="00D7480B">
        <w:rPr>
          <w:rFonts w:ascii="Verdana" w:hAnsi="Verdana" w:cs="Arial"/>
          <w:color w:val="000000" w:themeColor="text1"/>
          <w:sz w:val="20"/>
          <w:szCs w:val="20"/>
        </w:rPr>
        <w:t>exempt</w:t>
      </w:r>
      <w:r w:rsidRPr="00D7480B">
        <w:rPr>
          <w:rFonts w:ascii="Verdana" w:hAnsi="Verdana" w:cs="Arial"/>
          <w:color w:val="000000" w:themeColor="text1"/>
          <w:sz w:val="20"/>
          <w:szCs w:val="20"/>
        </w:rPr>
        <w:t xml:space="preserve">ed from the CIS where construction work is funded </w:t>
      </w:r>
      <w:r w:rsidR="002976ED" w:rsidRPr="00D7480B">
        <w:rPr>
          <w:rFonts w:ascii="Verdana" w:hAnsi="Verdana" w:cs="Arial"/>
          <w:color w:val="000000" w:themeColor="text1"/>
          <w:sz w:val="20"/>
          <w:szCs w:val="20"/>
        </w:rPr>
        <w:t xml:space="preserve">from </w:t>
      </w:r>
      <w:r w:rsidRPr="00D7480B">
        <w:rPr>
          <w:rFonts w:ascii="Verdana" w:hAnsi="Verdana" w:cs="Arial"/>
          <w:color w:val="000000" w:themeColor="text1"/>
          <w:sz w:val="20"/>
          <w:szCs w:val="20"/>
        </w:rPr>
        <w:t xml:space="preserve">devolved </w:t>
      </w:r>
      <w:r w:rsidR="002976ED" w:rsidRPr="00D7480B">
        <w:rPr>
          <w:rFonts w:ascii="Verdana" w:hAnsi="Verdana" w:cs="Arial"/>
          <w:color w:val="000000" w:themeColor="text1"/>
          <w:sz w:val="20"/>
          <w:szCs w:val="20"/>
        </w:rPr>
        <w:t>school budgets</w:t>
      </w:r>
      <w:r w:rsidR="00416152">
        <w:rPr>
          <w:rFonts w:ascii="Verdana" w:hAnsi="Verdana" w:cs="Arial"/>
          <w:color w:val="000000" w:themeColor="text1"/>
          <w:sz w:val="20"/>
          <w:szCs w:val="20"/>
        </w:rPr>
        <w:t>.  This was</w:t>
      </w:r>
      <w:r w:rsidRPr="00D7480B">
        <w:rPr>
          <w:rFonts w:ascii="Verdana" w:hAnsi="Verdana" w:cs="Arial"/>
          <w:color w:val="000000" w:themeColor="text1"/>
          <w:sz w:val="20"/>
          <w:szCs w:val="20"/>
        </w:rPr>
        <w:t xml:space="preserve"> on the grounds </w:t>
      </w:r>
      <w:r w:rsidR="00416152">
        <w:rPr>
          <w:rFonts w:ascii="Verdana" w:hAnsi="Verdana" w:cs="Arial"/>
          <w:color w:val="000000" w:themeColor="text1"/>
          <w:sz w:val="20"/>
          <w:szCs w:val="20"/>
        </w:rPr>
        <w:t xml:space="preserve">that </w:t>
      </w:r>
      <w:r w:rsidRPr="00D7480B">
        <w:rPr>
          <w:rFonts w:ascii="Verdana" w:hAnsi="Verdana" w:cs="Arial"/>
          <w:color w:val="000000" w:themeColor="text1"/>
          <w:sz w:val="20"/>
          <w:szCs w:val="20"/>
        </w:rPr>
        <w:t xml:space="preserve">the risk of the abuse at which the CIS is targeted is negligible </w:t>
      </w:r>
      <w:r w:rsidR="00416152">
        <w:rPr>
          <w:rFonts w:ascii="Verdana" w:hAnsi="Verdana" w:cs="Arial"/>
          <w:color w:val="000000" w:themeColor="text1"/>
          <w:sz w:val="20"/>
          <w:szCs w:val="20"/>
        </w:rPr>
        <w:t xml:space="preserve">in the context of schools </w:t>
      </w:r>
      <w:r w:rsidRPr="00D7480B">
        <w:rPr>
          <w:rFonts w:ascii="Verdana" w:hAnsi="Verdana" w:cs="Arial"/>
          <w:color w:val="000000" w:themeColor="text1"/>
          <w:sz w:val="20"/>
          <w:szCs w:val="20"/>
        </w:rPr>
        <w:t xml:space="preserve">and </w:t>
      </w:r>
      <w:r w:rsidR="002976ED" w:rsidRPr="00D7480B">
        <w:rPr>
          <w:rFonts w:ascii="Verdana" w:hAnsi="Verdana" w:cs="Arial"/>
          <w:color w:val="000000" w:themeColor="text1"/>
          <w:sz w:val="20"/>
          <w:szCs w:val="20"/>
        </w:rPr>
        <w:t xml:space="preserve">the </w:t>
      </w:r>
      <w:r w:rsidRPr="00D7480B">
        <w:rPr>
          <w:rFonts w:ascii="Verdana" w:hAnsi="Verdana" w:cs="Arial"/>
          <w:color w:val="000000" w:themeColor="text1"/>
          <w:sz w:val="20"/>
          <w:szCs w:val="20"/>
        </w:rPr>
        <w:t xml:space="preserve">amounts involved </w:t>
      </w:r>
      <w:r w:rsidR="002976ED" w:rsidRPr="00D7480B">
        <w:rPr>
          <w:rFonts w:ascii="Verdana" w:hAnsi="Verdana" w:cs="Arial"/>
          <w:color w:val="000000" w:themeColor="text1"/>
          <w:sz w:val="20"/>
          <w:szCs w:val="20"/>
        </w:rPr>
        <w:t xml:space="preserve">relatively small </w:t>
      </w:r>
      <w:r w:rsidRPr="00D7480B">
        <w:rPr>
          <w:rFonts w:ascii="Verdana" w:hAnsi="Verdana" w:cs="Arial"/>
          <w:color w:val="000000" w:themeColor="text1"/>
          <w:sz w:val="20"/>
          <w:szCs w:val="20"/>
        </w:rPr>
        <w:t xml:space="preserve">and dispropotionate </w:t>
      </w:r>
      <w:r w:rsidR="002976ED" w:rsidRPr="00D7480B">
        <w:rPr>
          <w:rFonts w:ascii="Verdana" w:hAnsi="Verdana" w:cs="Arial"/>
          <w:color w:val="000000" w:themeColor="text1"/>
          <w:sz w:val="20"/>
          <w:szCs w:val="20"/>
        </w:rPr>
        <w:t xml:space="preserve">to the effort required to </w:t>
      </w:r>
      <w:r w:rsidRPr="00D7480B">
        <w:rPr>
          <w:rFonts w:ascii="Verdana" w:hAnsi="Verdana" w:cs="Arial"/>
          <w:color w:val="000000" w:themeColor="text1"/>
          <w:sz w:val="20"/>
          <w:szCs w:val="20"/>
        </w:rPr>
        <w:t xml:space="preserve">apply the CIS to </w:t>
      </w:r>
      <w:r w:rsidR="002976ED" w:rsidRPr="00D7480B">
        <w:rPr>
          <w:rFonts w:ascii="Verdana" w:hAnsi="Verdana" w:cs="Arial"/>
          <w:color w:val="000000" w:themeColor="text1"/>
          <w:sz w:val="20"/>
          <w:szCs w:val="20"/>
        </w:rPr>
        <w:t>schools</w:t>
      </w:r>
      <w:r w:rsidRPr="00D7480B">
        <w:rPr>
          <w:rFonts w:ascii="Verdana" w:hAnsi="Verdana" w:cs="Arial"/>
          <w:color w:val="000000" w:themeColor="text1"/>
          <w:sz w:val="20"/>
          <w:szCs w:val="20"/>
        </w:rPr>
        <w:t>’ procurement</w:t>
      </w:r>
      <w:r w:rsidR="002976ED" w:rsidRPr="00D7480B">
        <w:rPr>
          <w:rFonts w:ascii="Verdana" w:hAnsi="Verdana" w:cs="Arial"/>
          <w:color w:val="000000" w:themeColor="text1"/>
          <w:sz w:val="20"/>
          <w:szCs w:val="20"/>
        </w:rPr>
        <w:t>.</w:t>
      </w:r>
      <w:r w:rsidR="005E2E9F">
        <w:rPr>
          <w:rFonts w:ascii="Verdana" w:hAnsi="Verdana" w:cs="Arial"/>
          <w:color w:val="000000" w:themeColor="text1"/>
          <w:sz w:val="20"/>
          <w:szCs w:val="20"/>
        </w:rPr>
        <w:t xml:space="preserve">  Local authorities believe that the proposed construction reverse charge can legitimately be seen in the same context</w:t>
      </w:r>
    </w:p>
    <w:p w:rsidR="00416152" w:rsidRDefault="00416152" w:rsidP="00D7480B">
      <w:pPr>
        <w:tabs>
          <w:tab w:val="left" w:pos="720"/>
          <w:tab w:val="left" w:pos="1440"/>
        </w:tabs>
        <w:spacing w:after="120"/>
        <w:ind w:left="720"/>
        <w:jc w:val="both"/>
        <w:rPr>
          <w:rFonts w:ascii="Verdana" w:hAnsi="Verdana"/>
          <w:sz w:val="20"/>
          <w:szCs w:val="20"/>
        </w:rPr>
      </w:pPr>
      <w:r>
        <w:rPr>
          <w:rFonts w:ascii="Verdana" w:hAnsi="Verdana"/>
          <w:sz w:val="20"/>
          <w:szCs w:val="20"/>
        </w:rPr>
        <w:t xml:space="preserve">I look forward to </w:t>
      </w:r>
      <w:r w:rsidR="005E2E9F">
        <w:rPr>
          <w:rFonts w:ascii="Verdana" w:hAnsi="Verdana"/>
          <w:sz w:val="20"/>
          <w:szCs w:val="20"/>
        </w:rPr>
        <w:t xml:space="preserve">hearing from you with, hopefully, </w:t>
      </w:r>
      <w:r>
        <w:rPr>
          <w:rFonts w:ascii="Verdana" w:hAnsi="Verdana"/>
          <w:sz w:val="20"/>
          <w:szCs w:val="20"/>
        </w:rPr>
        <w:t>a positive response.</w:t>
      </w:r>
    </w:p>
    <w:p w:rsidR="0072696D" w:rsidRPr="00D7480B" w:rsidRDefault="0072696D" w:rsidP="00D7480B">
      <w:pPr>
        <w:tabs>
          <w:tab w:val="left" w:pos="720"/>
          <w:tab w:val="left" w:pos="1440"/>
        </w:tabs>
        <w:spacing w:after="120"/>
        <w:ind w:left="720"/>
        <w:jc w:val="both"/>
        <w:rPr>
          <w:rFonts w:ascii="Verdana" w:hAnsi="Verdana"/>
          <w:sz w:val="20"/>
          <w:szCs w:val="20"/>
        </w:rPr>
      </w:pPr>
      <w:r w:rsidRPr="00D7480B">
        <w:rPr>
          <w:rFonts w:ascii="Verdana" w:hAnsi="Verdana"/>
          <w:sz w:val="20"/>
          <w:szCs w:val="20"/>
        </w:rPr>
        <w:t>Yours sincerely</w:t>
      </w:r>
    </w:p>
    <w:p w:rsidR="0072696D" w:rsidRPr="00D7480B" w:rsidRDefault="0072696D" w:rsidP="00D7480B">
      <w:pPr>
        <w:spacing w:after="120"/>
        <w:ind w:left="720"/>
        <w:jc w:val="both"/>
        <w:rPr>
          <w:rFonts w:ascii="Verdana" w:hAnsi="Verdana"/>
          <w:sz w:val="20"/>
          <w:szCs w:val="20"/>
        </w:rPr>
      </w:pPr>
    </w:p>
    <w:p w:rsidR="001E764E" w:rsidRPr="001E764E" w:rsidRDefault="001E764E" w:rsidP="0072696D">
      <w:pPr>
        <w:ind w:left="720"/>
        <w:jc w:val="both"/>
        <w:rPr>
          <w:rFonts w:ascii="Verdana" w:hAnsi="Verdana"/>
          <w:sz w:val="20"/>
          <w:szCs w:val="20"/>
        </w:rPr>
      </w:pPr>
      <w:r w:rsidRPr="001E764E">
        <w:rPr>
          <w:rFonts w:ascii="Verdana" w:hAnsi="Verdana"/>
          <w:sz w:val="20"/>
          <w:szCs w:val="20"/>
        </w:rPr>
        <w:t>Ian M Harris BA(Hons) FIIT CTA MAAT</w:t>
      </w:r>
    </w:p>
    <w:p w:rsidR="001E764E" w:rsidRPr="001E764E" w:rsidRDefault="001E764E" w:rsidP="0072696D">
      <w:pPr>
        <w:ind w:left="720"/>
        <w:jc w:val="both"/>
        <w:rPr>
          <w:rFonts w:ascii="Verdana" w:hAnsi="Verdana"/>
          <w:sz w:val="20"/>
          <w:szCs w:val="20"/>
        </w:rPr>
      </w:pPr>
      <w:r w:rsidRPr="001E764E">
        <w:rPr>
          <w:rFonts w:ascii="Verdana" w:hAnsi="Verdana"/>
          <w:sz w:val="20"/>
          <w:szCs w:val="20"/>
        </w:rPr>
        <w:t>Leicester City Council</w:t>
      </w:r>
    </w:p>
    <w:p w:rsidR="0072696D" w:rsidRPr="001E764E" w:rsidRDefault="0072696D" w:rsidP="0072696D">
      <w:pPr>
        <w:spacing w:after="120"/>
        <w:ind w:firstLine="720"/>
        <w:rPr>
          <w:rFonts w:ascii="Verdana" w:hAnsi="Verdana"/>
          <w:noProof w:val="0"/>
          <w:sz w:val="20"/>
          <w:szCs w:val="20"/>
        </w:rPr>
      </w:pPr>
      <w:r w:rsidRPr="001E764E">
        <w:rPr>
          <w:rFonts w:ascii="Verdana" w:hAnsi="Verdana"/>
          <w:sz w:val="20"/>
          <w:szCs w:val="20"/>
        </w:rPr>
        <w:t>on behalf of the CIPFA VAT Committee</w:t>
      </w:r>
    </w:p>
    <w:p w:rsidR="001E764E" w:rsidRPr="001E764E" w:rsidRDefault="001E764E" w:rsidP="0072696D">
      <w:pPr>
        <w:ind w:left="720"/>
        <w:jc w:val="both"/>
        <w:rPr>
          <w:rFonts w:ascii="Verdana" w:hAnsi="Verdana"/>
          <w:sz w:val="20"/>
          <w:szCs w:val="20"/>
        </w:rPr>
      </w:pPr>
      <w:r w:rsidRPr="001E764E">
        <w:rPr>
          <w:rFonts w:ascii="Verdana" w:hAnsi="Verdana"/>
          <w:sz w:val="20"/>
          <w:szCs w:val="20"/>
        </w:rPr>
        <w:t>Tel:  0116-454-4060  -  Text/Mobile:  077101-48748</w:t>
      </w:r>
    </w:p>
    <w:p w:rsidR="001E764E" w:rsidRPr="001E764E" w:rsidRDefault="001E764E" w:rsidP="001E764E">
      <w:pPr>
        <w:spacing w:after="120"/>
        <w:ind w:left="720"/>
        <w:jc w:val="both"/>
        <w:rPr>
          <w:rFonts w:ascii="Verdana" w:hAnsi="Verdana"/>
          <w:sz w:val="20"/>
          <w:szCs w:val="20"/>
        </w:rPr>
      </w:pPr>
      <w:r w:rsidRPr="001E764E">
        <w:rPr>
          <w:rFonts w:ascii="Verdana" w:hAnsi="Verdana"/>
          <w:sz w:val="20"/>
          <w:szCs w:val="20"/>
        </w:rPr>
        <w:t xml:space="preserve">E-Mail:  </w:t>
      </w:r>
      <w:hyperlink r:id="rId7" w:history="1">
        <w:r w:rsidRPr="001E764E">
          <w:rPr>
            <w:rStyle w:val="Hyperlink"/>
            <w:rFonts w:ascii="Verdana" w:hAnsi="Verdana"/>
            <w:sz w:val="20"/>
            <w:szCs w:val="20"/>
          </w:rPr>
          <w:t>ian.harris@leicester.gov.uk</w:t>
        </w:r>
      </w:hyperlink>
      <w:bookmarkStart w:id="0" w:name="_GoBack"/>
      <w:bookmarkEnd w:id="0"/>
    </w:p>
    <w:sectPr w:rsidR="001E764E" w:rsidRPr="001E764E" w:rsidSect="00974173">
      <w:headerReference w:type="default" r:id="rId8"/>
      <w:headerReference w:type="first" r:id="rId9"/>
      <w:pgSz w:w="11906" w:h="16838" w:code="9"/>
      <w:pgMar w:top="2268" w:right="709" w:bottom="714" w:left="23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47D" w:rsidRDefault="008A6F50">
      <w:r>
        <w:separator/>
      </w:r>
    </w:p>
  </w:endnote>
  <w:endnote w:type="continuationSeparator" w:id="0">
    <w:p w:rsidR="00BE647D" w:rsidRDefault="008A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47D" w:rsidRDefault="008A6F50">
      <w:r>
        <w:separator/>
      </w:r>
    </w:p>
  </w:footnote>
  <w:footnote w:type="continuationSeparator" w:id="0">
    <w:p w:rsidR="00BE647D" w:rsidRDefault="008A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6D1" w:rsidRDefault="00FC1E39">
    <w:pPr>
      <w:pStyle w:val="Header"/>
      <w:tabs>
        <w:tab w:val="clear" w:pos="8306"/>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A91" w:rsidRDefault="00974173">
    <w:pPr>
      <w:pStyle w:val="Header"/>
    </w:pPr>
    <w:r>
      <w:rPr>
        <w:lang w:eastAsia="en-GB"/>
      </w:rPr>
      <w:drawing>
        <wp:anchor distT="0" distB="0" distL="114300" distR="114300" simplePos="0" relativeHeight="251659264" behindDoc="1" locked="0" layoutInCell="1" allowOverlap="1" wp14:anchorId="2C54BD5B" wp14:editId="49F127FF">
          <wp:simplePos x="0" y="0"/>
          <wp:positionH relativeFrom="column">
            <wp:posOffset>-165100</wp:posOffset>
          </wp:positionH>
          <wp:positionV relativeFrom="paragraph">
            <wp:posOffset>12700</wp:posOffset>
          </wp:positionV>
          <wp:extent cx="7560310" cy="10695940"/>
          <wp:effectExtent l="0" t="0" r="2540" b="0"/>
          <wp:wrapNone/>
          <wp:docPr id="1" name="Picture 1" descr="Word letterhead 2014 MANSELL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letterhead 2014 MANSELL 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179C"/>
    <w:multiLevelType w:val="hybridMultilevel"/>
    <w:tmpl w:val="C668F6C4"/>
    <w:lvl w:ilvl="0" w:tplc="0809000F">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9E0A10"/>
    <w:multiLevelType w:val="hybridMultilevel"/>
    <w:tmpl w:val="58648B5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B662B9"/>
    <w:multiLevelType w:val="hybridMultilevel"/>
    <w:tmpl w:val="46DAA7DE"/>
    <w:lvl w:ilvl="0" w:tplc="836AF54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E83636"/>
    <w:multiLevelType w:val="hybridMultilevel"/>
    <w:tmpl w:val="0A5AA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BC54D6"/>
    <w:multiLevelType w:val="hybridMultilevel"/>
    <w:tmpl w:val="94C6D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D45D0D"/>
    <w:multiLevelType w:val="hybridMultilevel"/>
    <w:tmpl w:val="E710FD9C"/>
    <w:lvl w:ilvl="0" w:tplc="836AF54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AB5D1A"/>
    <w:multiLevelType w:val="hybridMultilevel"/>
    <w:tmpl w:val="3F7E54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11F0B"/>
    <w:multiLevelType w:val="hybridMultilevel"/>
    <w:tmpl w:val="646E3EBE"/>
    <w:lvl w:ilvl="0" w:tplc="836AF540">
      <w:start w:val="1"/>
      <w:numFmt w:val="bullet"/>
      <w:lvlText w:val=""/>
      <w:lvlJc w:val="left"/>
      <w:pPr>
        <w:tabs>
          <w:tab w:val="num" w:pos="720"/>
        </w:tabs>
        <w:ind w:left="284" w:firstLine="436"/>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C44E49"/>
    <w:multiLevelType w:val="hybridMultilevel"/>
    <w:tmpl w:val="B944169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D9564B"/>
    <w:multiLevelType w:val="hybridMultilevel"/>
    <w:tmpl w:val="61C2E88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5C6294"/>
    <w:multiLevelType w:val="hybridMultilevel"/>
    <w:tmpl w:val="ED80FEBC"/>
    <w:lvl w:ilvl="0" w:tplc="90E89B1C">
      <w:numFmt w:val="bullet"/>
      <w:lvlText w:val="-"/>
      <w:lvlJc w:val="left"/>
      <w:pPr>
        <w:ind w:left="360" w:hanging="360"/>
      </w:pPr>
      <w:rPr>
        <w:rFonts w:ascii="Verdana" w:eastAsia="Calibri" w:hAnsi="Verdana"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C812D2E"/>
    <w:multiLevelType w:val="hybridMultilevel"/>
    <w:tmpl w:val="009EF73E"/>
    <w:lvl w:ilvl="0" w:tplc="836AF54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89E6D97"/>
    <w:multiLevelType w:val="hybridMultilevel"/>
    <w:tmpl w:val="1C5696A2"/>
    <w:lvl w:ilvl="0" w:tplc="836AF54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FD20DC"/>
    <w:multiLevelType w:val="hybridMultilevel"/>
    <w:tmpl w:val="A8B809A2"/>
    <w:lvl w:ilvl="0" w:tplc="8C9A59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C5B62F6"/>
    <w:multiLevelType w:val="hybridMultilevel"/>
    <w:tmpl w:val="9130644A"/>
    <w:lvl w:ilvl="0" w:tplc="9170E94C">
      <w:start w:val="1"/>
      <w:numFmt w:val="bullet"/>
      <w:lvlText w:val=""/>
      <w:lvlJc w:val="left"/>
      <w:pPr>
        <w:ind w:left="284" w:hanging="284"/>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72A7238"/>
    <w:multiLevelType w:val="hybridMultilevel"/>
    <w:tmpl w:val="BC4C2D2A"/>
    <w:lvl w:ilvl="0" w:tplc="836AF54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654052"/>
    <w:multiLevelType w:val="hybridMultilevel"/>
    <w:tmpl w:val="EB2C869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7821450"/>
    <w:multiLevelType w:val="hybridMultilevel"/>
    <w:tmpl w:val="F7980F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AC6E74"/>
    <w:multiLevelType w:val="hybridMultilevel"/>
    <w:tmpl w:val="3F1CA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19"/>
  </w:num>
  <w:num w:numId="4">
    <w:abstractNumId w:val="18"/>
  </w:num>
  <w:num w:numId="5">
    <w:abstractNumId w:val="10"/>
  </w:num>
  <w:num w:numId="6">
    <w:abstractNumId w:val="3"/>
  </w:num>
  <w:num w:numId="7">
    <w:abstractNumId w:val="4"/>
  </w:num>
  <w:num w:numId="8">
    <w:abstractNumId w:val="6"/>
  </w:num>
  <w:num w:numId="9">
    <w:abstractNumId w:val="1"/>
  </w:num>
  <w:num w:numId="10">
    <w:abstractNumId w:val="7"/>
  </w:num>
  <w:num w:numId="11">
    <w:abstractNumId w:val="5"/>
  </w:num>
  <w:num w:numId="12">
    <w:abstractNumId w:val="16"/>
  </w:num>
  <w:num w:numId="13">
    <w:abstractNumId w:val="11"/>
  </w:num>
  <w:num w:numId="14">
    <w:abstractNumId w:val="0"/>
  </w:num>
  <w:num w:numId="15">
    <w:abstractNumId w:val="12"/>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73"/>
    <w:rsid w:val="000B095A"/>
    <w:rsid w:val="000F7859"/>
    <w:rsid w:val="001A5864"/>
    <w:rsid w:val="001E764E"/>
    <w:rsid w:val="002976ED"/>
    <w:rsid w:val="00416152"/>
    <w:rsid w:val="0049042B"/>
    <w:rsid w:val="004A6970"/>
    <w:rsid w:val="005418CA"/>
    <w:rsid w:val="005E2E9F"/>
    <w:rsid w:val="00646C44"/>
    <w:rsid w:val="006C2B3B"/>
    <w:rsid w:val="0072696D"/>
    <w:rsid w:val="00803B9B"/>
    <w:rsid w:val="0081197F"/>
    <w:rsid w:val="00830549"/>
    <w:rsid w:val="0083784E"/>
    <w:rsid w:val="00846148"/>
    <w:rsid w:val="00890136"/>
    <w:rsid w:val="008917A7"/>
    <w:rsid w:val="008A6F50"/>
    <w:rsid w:val="008B1176"/>
    <w:rsid w:val="00917443"/>
    <w:rsid w:val="00955985"/>
    <w:rsid w:val="00974173"/>
    <w:rsid w:val="009B204A"/>
    <w:rsid w:val="00A63B9A"/>
    <w:rsid w:val="00A841CC"/>
    <w:rsid w:val="00B63236"/>
    <w:rsid w:val="00B730BA"/>
    <w:rsid w:val="00BA599F"/>
    <w:rsid w:val="00BC11F1"/>
    <w:rsid w:val="00BE13DE"/>
    <w:rsid w:val="00BE647D"/>
    <w:rsid w:val="00C02F32"/>
    <w:rsid w:val="00C56CAC"/>
    <w:rsid w:val="00C64E44"/>
    <w:rsid w:val="00C660F7"/>
    <w:rsid w:val="00C716C3"/>
    <w:rsid w:val="00D3337A"/>
    <w:rsid w:val="00D34BC0"/>
    <w:rsid w:val="00D529C8"/>
    <w:rsid w:val="00D65F0A"/>
    <w:rsid w:val="00D7480B"/>
    <w:rsid w:val="00D94431"/>
    <w:rsid w:val="00E04693"/>
    <w:rsid w:val="00E43F26"/>
    <w:rsid w:val="00EE08F0"/>
    <w:rsid w:val="00FC1E39"/>
    <w:rsid w:val="00FC3663"/>
    <w:rsid w:val="00FE1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5E4"/>
  <w15:docId w15:val="{CA0EBCE0-28C9-45B2-B090-0AB7B557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173"/>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4173"/>
    <w:pPr>
      <w:tabs>
        <w:tab w:val="center" w:pos="4153"/>
        <w:tab w:val="right" w:pos="8306"/>
      </w:tabs>
    </w:pPr>
  </w:style>
  <w:style w:type="character" w:customStyle="1" w:styleId="HeaderChar">
    <w:name w:val="Header Char"/>
    <w:basedOn w:val="DefaultParagraphFont"/>
    <w:link w:val="Header"/>
    <w:uiPriority w:val="99"/>
    <w:rsid w:val="00974173"/>
    <w:rPr>
      <w:rFonts w:ascii="Times New Roman" w:eastAsia="Times New Roman" w:hAnsi="Times New Roman" w:cs="Times New Roman"/>
      <w:noProof/>
      <w:sz w:val="24"/>
      <w:szCs w:val="24"/>
    </w:rPr>
  </w:style>
  <w:style w:type="paragraph" w:customStyle="1" w:styleId="NoParagraphStyle">
    <w:name w:val="[No Paragraph Style]"/>
    <w:rsid w:val="00974173"/>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rPr>
  </w:style>
  <w:style w:type="character" w:styleId="Hyperlink">
    <w:name w:val="Hyperlink"/>
    <w:uiPriority w:val="99"/>
    <w:unhideWhenUsed/>
    <w:rsid w:val="00974173"/>
    <w:rPr>
      <w:color w:val="0000FF"/>
      <w:u w:val="single"/>
    </w:rPr>
  </w:style>
  <w:style w:type="paragraph" w:styleId="ListParagraph">
    <w:name w:val="List Paragraph"/>
    <w:basedOn w:val="Normal"/>
    <w:uiPriority w:val="34"/>
    <w:qFormat/>
    <w:rsid w:val="00974173"/>
    <w:pPr>
      <w:spacing w:after="200" w:line="276" w:lineRule="auto"/>
      <w:ind w:left="720"/>
      <w:contextualSpacing/>
    </w:pPr>
    <w:rPr>
      <w:rFonts w:ascii="Arial" w:eastAsiaTheme="minorHAnsi" w:hAnsi="Arial" w:cs="Arial"/>
      <w:noProof w:val="0"/>
    </w:rPr>
  </w:style>
  <w:style w:type="paragraph" w:styleId="PlainText">
    <w:name w:val="Plain Text"/>
    <w:basedOn w:val="Normal"/>
    <w:link w:val="PlainTextChar"/>
    <w:uiPriority w:val="99"/>
    <w:rsid w:val="0081197F"/>
    <w:rPr>
      <w:rFonts w:ascii="Courier New" w:hAnsi="Courier New" w:cs="Courier New"/>
      <w:noProof w:val="0"/>
      <w:sz w:val="20"/>
      <w:szCs w:val="20"/>
    </w:rPr>
  </w:style>
  <w:style w:type="character" w:customStyle="1" w:styleId="PlainTextChar">
    <w:name w:val="Plain Text Char"/>
    <w:basedOn w:val="DefaultParagraphFont"/>
    <w:link w:val="PlainText"/>
    <w:uiPriority w:val="99"/>
    <w:rsid w:val="0081197F"/>
    <w:rPr>
      <w:rFonts w:ascii="Courier New" w:eastAsia="Times New Roman" w:hAnsi="Courier New" w:cs="Courier New"/>
      <w:sz w:val="20"/>
      <w:szCs w:val="20"/>
    </w:rPr>
  </w:style>
  <w:style w:type="paragraph" w:styleId="BodyTextIndent2">
    <w:name w:val="Body Text Indent 2"/>
    <w:basedOn w:val="Normal"/>
    <w:link w:val="BodyTextIndent2Char"/>
    <w:rsid w:val="00C716C3"/>
    <w:pPr>
      <w:tabs>
        <w:tab w:val="left" w:pos="720"/>
        <w:tab w:val="left" w:pos="1440"/>
      </w:tabs>
      <w:ind w:left="907" w:hanging="567"/>
    </w:pPr>
    <w:rPr>
      <w:noProof w:val="0"/>
      <w:szCs w:val="20"/>
    </w:rPr>
  </w:style>
  <w:style w:type="character" w:customStyle="1" w:styleId="BodyTextIndent2Char">
    <w:name w:val="Body Text Indent 2 Char"/>
    <w:basedOn w:val="DefaultParagraphFont"/>
    <w:link w:val="BodyTextIndent2"/>
    <w:rsid w:val="00C716C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660F7"/>
    <w:rPr>
      <w:rFonts w:ascii="Tahoma" w:hAnsi="Tahoma" w:cs="Tahoma"/>
      <w:sz w:val="16"/>
      <w:szCs w:val="16"/>
    </w:rPr>
  </w:style>
  <w:style w:type="character" w:customStyle="1" w:styleId="BalloonTextChar">
    <w:name w:val="Balloon Text Char"/>
    <w:basedOn w:val="DefaultParagraphFont"/>
    <w:link w:val="BalloonText"/>
    <w:uiPriority w:val="99"/>
    <w:semiHidden/>
    <w:rsid w:val="00C660F7"/>
    <w:rPr>
      <w:rFonts w:ascii="Tahoma" w:eastAsia="Times New Roman" w:hAnsi="Tahoma" w:cs="Tahoma"/>
      <w:noProof/>
      <w:sz w:val="16"/>
      <w:szCs w:val="16"/>
    </w:rPr>
  </w:style>
  <w:style w:type="paragraph" w:customStyle="1" w:styleId="N1">
    <w:name w:val="N1"/>
    <w:basedOn w:val="Normal"/>
    <w:uiPriority w:val="99"/>
    <w:rsid w:val="00D7480B"/>
    <w:pPr>
      <w:numPr>
        <w:numId w:val="18"/>
      </w:numPr>
      <w:spacing w:before="160" w:line="220" w:lineRule="atLeast"/>
      <w:jc w:val="both"/>
    </w:pPr>
    <w:rPr>
      <w:rFonts w:eastAsiaTheme="minorHAnsi"/>
      <w:noProof w:val="0"/>
      <w:sz w:val="21"/>
      <w:szCs w:val="21"/>
    </w:rPr>
  </w:style>
  <w:style w:type="paragraph" w:customStyle="1" w:styleId="N2">
    <w:name w:val="N2"/>
    <w:basedOn w:val="Normal"/>
    <w:uiPriority w:val="99"/>
    <w:rsid w:val="00D7480B"/>
    <w:pPr>
      <w:numPr>
        <w:ilvl w:val="1"/>
        <w:numId w:val="18"/>
      </w:numPr>
      <w:spacing w:before="80" w:line="220" w:lineRule="atLeast"/>
      <w:jc w:val="both"/>
    </w:pPr>
    <w:rPr>
      <w:rFonts w:eastAsiaTheme="minorHAnsi"/>
      <w:noProof w:val="0"/>
      <w:sz w:val="21"/>
      <w:szCs w:val="21"/>
    </w:rPr>
  </w:style>
  <w:style w:type="paragraph" w:customStyle="1" w:styleId="N3">
    <w:name w:val="N3"/>
    <w:basedOn w:val="Normal"/>
    <w:uiPriority w:val="99"/>
    <w:rsid w:val="00D7480B"/>
    <w:pPr>
      <w:numPr>
        <w:ilvl w:val="2"/>
        <w:numId w:val="18"/>
      </w:numPr>
      <w:spacing w:before="80" w:line="220" w:lineRule="atLeast"/>
      <w:jc w:val="both"/>
    </w:pPr>
    <w:rPr>
      <w:rFonts w:eastAsiaTheme="minorHAnsi"/>
      <w:noProof w:val="0"/>
      <w:sz w:val="21"/>
      <w:szCs w:val="21"/>
    </w:rPr>
  </w:style>
  <w:style w:type="paragraph" w:customStyle="1" w:styleId="N4">
    <w:name w:val="N4"/>
    <w:basedOn w:val="Normal"/>
    <w:uiPriority w:val="99"/>
    <w:rsid w:val="00D7480B"/>
    <w:pPr>
      <w:numPr>
        <w:ilvl w:val="3"/>
        <w:numId w:val="18"/>
      </w:numPr>
      <w:spacing w:before="80" w:line="220" w:lineRule="atLeast"/>
      <w:jc w:val="both"/>
    </w:pPr>
    <w:rPr>
      <w:rFonts w:eastAsiaTheme="minorHAnsi"/>
      <w:noProof w:val="0"/>
      <w:sz w:val="21"/>
      <w:szCs w:val="21"/>
    </w:rPr>
  </w:style>
  <w:style w:type="paragraph" w:customStyle="1" w:styleId="N5">
    <w:name w:val="N5"/>
    <w:basedOn w:val="Normal"/>
    <w:uiPriority w:val="99"/>
    <w:rsid w:val="00D7480B"/>
    <w:pPr>
      <w:numPr>
        <w:ilvl w:val="4"/>
        <w:numId w:val="18"/>
      </w:numPr>
      <w:spacing w:before="80" w:line="220" w:lineRule="atLeast"/>
      <w:jc w:val="both"/>
    </w:pPr>
    <w:rPr>
      <w:rFonts w:eastAsiaTheme="minorHAnsi"/>
      <w:noProof w:val="0"/>
      <w:sz w:val="21"/>
      <w:szCs w:val="21"/>
    </w:rPr>
  </w:style>
  <w:style w:type="paragraph" w:customStyle="1" w:styleId="paragraph">
    <w:name w:val="paragraph"/>
    <w:basedOn w:val="Normal"/>
    <w:uiPriority w:val="99"/>
    <w:rsid w:val="00A841CC"/>
    <w:rPr>
      <w:rFonts w:ascii="Calibri" w:eastAsiaTheme="minorHAnsi" w:hAnsi="Calibri" w:cs="Calibri"/>
      <w:noProof w:val="0"/>
      <w:sz w:val="22"/>
      <w:szCs w:val="22"/>
      <w:lang w:eastAsia="en-GB"/>
    </w:rPr>
  </w:style>
  <w:style w:type="character" w:customStyle="1" w:styleId="normaltextrun1">
    <w:name w:val="normaltextrun1"/>
    <w:basedOn w:val="DefaultParagraphFont"/>
    <w:rsid w:val="00A841CC"/>
  </w:style>
  <w:style w:type="character" w:customStyle="1" w:styleId="eop">
    <w:name w:val="eop"/>
    <w:basedOn w:val="DefaultParagraphFont"/>
    <w:rsid w:val="00A8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079047">
      <w:bodyDiv w:val="1"/>
      <w:marLeft w:val="0"/>
      <w:marRight w:val="0"/>
      <w:marTop w:val="0"/>
      <w:marBottom w:val="0"/>
      <w:divBdr>
        <w:top w:val="none" w:sz="0" w:space="0" w:color="auto"/>
        <w:left w:val="none" w:sz="0" w:space="0" w:color="auto"/>
        <w:bottom w:val="none" w:sz="0" w:space="0" w:color="auto"/>
        <w:right w:val="none" w:sz="0" w:space="0" w:color="auto"/>
      </w:divBdr>
    </w:div>
    <w:div w:id="472985998">
      <w:bodyDiv w:val="1"/>
      <w:marLeft w:val="0"/>
      <w:marRight w:val="0"/>
      <w:marTop w:val="0"/>
      <w:marBottom w:val="0"/>
      <w:divBdr>
        <w:top w:val="none" w:sz="0" w:space="0" w:color="auto"/>
        <w:left w:val="none" w:sz="0" w:space="0" w:color="auto"/>
        <w:bottom w:val="none" w:sz="0" w:space="0" w:color="auto"/>
        <w:right w:val="none" w:sz="0" w:space="0" w:color="auto"/>
      </w:divBdr>
    </w:div>
    <w:div w:id="687828151">
      <w:bodyDiv w:val="1"/>
      <w:marLeft w:val="0"/>
      <w:marRight w:val="0"/>
      <w:marTop w:val="0"/>
      <w:marBottom w:val="0"/>
      <w:divBdr>
        <w:top w:val="none" w:sz="0" w:space="0" w:color="auto"/>
        <w:left w:val="none" w:sz="0" w:space="0" w:color="auto"/>
        <w:bottom w:val="none" w:sz="0" w:space="0" w:color="auto"/>
        <w:right w:val="none" w:sz="0" w:space="0" w:color="auto"/>
      </w:divBdr>
    </w:div>
    <w:div w:id="18940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n.harris@leic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Mark</dc:creator>
  <cp:lastModifiedBy>Ian Harris</cp:lastModifiedBy>
  <cp:revision>3</cp:revision>
  <cp:lastPrinted>2019-05-01T09:09:00Z</cp:lastPrinted>
  <dcterms:created xsi:type="dcterms:W3CDTF">2019-05-29T07:39:00Z</dcterms:created>
  <dcterms:modified xsi:type="dcterms:W3CDTF">2019-06-11T07:54:00Z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