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0258C" w14:textId="77777777" w:rsidR="00481F9C" w:rsidRDefault="00481F9C">
      <w:pPr>
        <w:rPr>
          <w:b/>
          <w:sz w:val="32"/>
        </w:rPr>
      </w:pPr>
      <w:bookmarkStart w:id="0" w:name="_GoBack"/>
      <w:bookmarkEnd w:id="0"/>
      <w:r>
        <w:rPr>
          <w:b/>
          <w:noProof/>
          <w:sz w:val="32"/>
          <w:lang w:eastAsia="en-GB"/>
        </w:rPr>
        <w:drawing>
          <wp:anchor distT="0" distB="0" distL="114300" distR="114300" simplePos="0" relativeHeight="251658240" behindDoc="1" locked="0" layoutInCell="1" allowOverlap="1" wp14:anchorId="6B152FBA" wp14:editId="26D4DB3F">
            <wp:simplePos x="0" y="0"/>
            <wp:positionH relativeFrom="column">
              <wp:posOffset>-939920</wp:posOffset>
            </wp:positionH>
            <wp:positionV relativeFrom="paragraph">
              <wp:posOffset>-843903</wp:posOffset>
            </wp:positionV>
            <wp:extent cx="7602220" cy="1257300"/>
            <wp:effectExtent l="0" t="0" r="0" b="0"/>
            <wp:wrapNone/>
            <wp:docPr id="1" name="Picture 1" descr="corporate full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orate full p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0222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8D2867" w14:textId="77777777" w:rsidR="00481F9C" w:rsidRDefault="00481F9C">
      <w:pPr>
        <w:rPr>
          <w:b/>
          <w:sz w:val="32"/>
        </w:rPr>
      </w:pPr>
    </w:p>
    <w:p w14:paraId="5453C844" w14:textId="77777777" w:rsidR="00481F9C" w:rsidRDefault="00481F9C">
      <w:pPr>
        <w:rPr>
          <w:b/>
          <w:sz w:val="32"/>
        </w:rPr>
      </w:pPr>
    </w:p>
    <w:p w14:paraId="2D36B22B" w14:textId="4A0487E0" w:rsidR="003F7B8F" w:rsidRPr="00852814" w:rsidRDefault="003F7B8F">
      <w:pPr>
        <w:rPr>
          <w:b/>
          <w:sz w:val="32"/>
        </w:rPr>
      </w:pPr>
    </w:p>
    <w:p w14:paraId="265DF0D1" w14:textId="77777777" w:rsidR="00852814" w:rsidRPr="00852814" w:rsidRDefault="00852814">
      <w:pPr>
        <w:rPr>
          <w:b/>
          <w:sz w:val="32"/>
        </w:rPr>
      </w:pPr>
    </w:p>
    <w:p w14:paraId="7CEC498E" w14:textId="77777777" w:rsidR="00852814" w:rsidRDefault="00852814">
      <w:pPr>
        <w:rPr>
          <w:b/>
          <w:sz w:val="32"/>
        </w:rPr>
      </w:pPr>
      <w:r w:rsidRPr="00852814">
        <w:rPr>
          <w:b/>
          <w:sz w:val="32"/>
        </w:rPr>
        <w:t>CONSULTATION ON THE CIPFA STATEMENT ON THE ROLE OF THE CHIEF FINANCIAL OFFICER IN LOCAL GOVERNMENT</w:t>
      </w:r>
    </w:p>
    <w:p w14:paraId="0FCEBF4E" w14:textId="77777777" w:rsidR="00852814" w:rsidRDefault="00852814">
      <w:pPr>
        <w:rPr>
          <w:b/>
          <w:sz w:val="32"/>
        </w:rPr>
      </w:pPr>
    </w:p>
    <w:p w14:paraId="098DCA69" w14:textId="77777777" w:rsidR="00852814" w:rsidRDefault="00852814">
      <w:pPr>
        <w:rPr>
          <w:b/>
          <w:sz w:val="32"/>
        </w:rPr>
      </w:pPr>
      <w:r>
        <w:rPr>
          <w:b/>
          <w:sz w:val="32"/>
        </w:rPr>
        <w:t>July 2014</w:t>
      </w:r>
    </w:p>
    <w:p w14:paraId="1F9AE507" w14:textId="77777777" w:rsidR="00852814" w:rsidRDefault="00852814">
      <w:pPr>
        <w:rPr>
          <w:b/>
          <w:sz w:val="32"/>
        </w:rPr>
      </w:pPr>
      <w:r>
        <w:rPr>
          <w:b/>
          <w:sz w:val="32"/>
        </w:rPr>
        <w:br w:type="page"/>
      </w:r>
    </w:p>
    <w:p w14:paraId="145110F1" w14:textId="77777777" w:rsidR="00852814" w:rsidRPr="00852814" w:rsidRDefault="00852814" w:rsidP="00852814">
      <w:r w:rsidRPr="00852814">
        <w:lastRenderedPageBreak/>
        <w:t xml:space="preserve">CIPFA, the Chartered Institute of Public Finance and Accountancy, is the professional body for people in public finance. Our 14,000 members work throughout the public services, in national audit agencies, in major accountancy firms, and in other bodies where public money needs to be effectively and efficiently managed. </w:t>
      </w:r>
    </w:p>
    <w:p w14:paraId="0503A766" w14:textId="77777777" w:rsidR="00852814" w:rsidRDefault="00852814" w:rsidP="00852814">
      <w:r w:rsidRPr="00852814">
        <w:t>As the world’s only professional accountancy body to specialise in public services, CIPFA’s qualifications are the foundation for a career in public finance. We also champion high performance in public services, translating our experience and insight into clear advice and practical services. Globally, CIPFA shows the way in public finance by standing up for sound public financial management and good governance.</w:t>
      </w:r>
    </w:p>
    <w:p w14:paraId="7839B038" w14:textId="77777777" w:rsidR="00672601" w:rsidRDefault="00672601" w:rsidP="00852814"/>
    <w:p w14:paraId="582A4F13" w14:textId="77777777" w:rsidR="00672601" w:rsidRDefault="00672601">
      <w:r>
        <w:br w:type="page"/>
      </w:r>
    </w:p>
    <w:p w14:paraId="6A287A1F" w14:textId="77777777" w:rsidR="00672601" w:rsidRDefault="00672601" w:rsidP="00672601">
      <w:pPr>
        <w:autoSpaceDE w:val="0"/>
        <w:autoSpaceDN w:val="0"/>
        <w:adjustRightInd w:val="0"/>
        <w:spacing w:after="0" w:line="240" w:lineRule="auto"/>
        <w:rPr>
          <w:rFonts w:cs="FSLola"/>
          <w:color w:val="58595B"/>
          <w:sz w:val="22"/>
        </w:rPr>
      </w:pPr>
      <w:r>
        <w:rPr>
          <w:rFonts w:cs="FSLola"/>
          <w:color w:val="58595B"/>
          <w:sz w:val="22"/>
        </w:rPr>
        <w:lastRenderedPageBreak/>
        <w:t>CIPFA’s</w:t>
      </w:r>
      <w:r w:rsidRPr="00672601">
        <w:rPr>
          <w:rFonts w:cs="FSLola"/>
          <w:color w:val="58595B"/>
          <w:sz w:val="22"/>
        </w:rPr>
        <w:t xml:space="preserve"> Statement on the Role of the CFO in Local Government </w:t>
      </w:r>
      <w:r>
        <w:rPr>
          <w:rFonts w:cs="FSLola"/>
          <w:color w:val="58595B"/>
          <w:sz w:val="22"/>
        </w:rPr>
        <w:t xml:space="preserve">was last issued in 2010 and </w:t>
      </w:r>
      <w:r w:rsidRPr="00672601">
        <w:rPr>
          <w:rFonts w:cs="FSLola"/>
          <w:color w:val="58595B"/>
          <w:sz w:val="22"/>
        </w:rPr>
        <w:t>describes the role and</w:t>
      </w:r>
      <w:r>
        <w:rPr>
          <w:rFonts w:cs="FSLola"/>
          <w:color w:val="58595B"/>
          <w:sz w:val="22"/>
        </w:rPr>
        <w:t xml:space="preserve"> </w:t>
      </w:r>
      <w:r w:rsidRPr="00672601">
        <w:rPr>
          <w:rFonts w:cs="FSLola"/>
          <w:color w:val="58595B"/>
          <w:sz w:val="22"/>
        </w:rPr>
        <w:t>responsibilities of CFOs in Local Government. It builds heavily on CIPFA’s Statement</w:t>
      </w:r>
      <w:r>
        <w:rPr>
          <w:rFonts w:cs="FSLola"/>
          <w:color w:val="58595B"/>
          <w:sz w:val="22"/>
        </w:rPr>
        <w:t xml:space="preserve"> </w:t>
      </w:r>
      <w:r w:rsidRPr="00672601">
        <w:rPr>
          <w:rFonts w:cs="FSLola"/>
          <w:color w:val="58595B"/>
          <w:sz w:val="22"/>
        </w:rPr>
        <w:t>on the Role of The CFO in Public Services1 and applies the principles and roles set out</w:t>
      </w:r>
      <w:r>
        <w:rPr>
          <w:rFonts w:cs="FSLola"/>
          <w:color w:val="58595B"/>
          <w:sz w:val="22"/>
        </w:rPr>
        <w:t xml:space="preserve"> </w:t>
      </w:r>
      <w:r w:rsidRPr="00672601">
        <w:rPr>
          <w:rFonts w:cs="FSLola"/>
          <w:color w:val="58595B"/>
          <w:sz w:val="22"/>
        </w:rPr>
        <w:t>in that document to Local Government.</w:t>
      </w:r>
    </w:p>
    <w:p w14:paraId="2DE1D885" w14:textId="77777777" w:rsidR="00672601" w:rsidRDefault="00672601" w:rsidP="00672601">
      <w:pPr>
        <w:autoSpaceDE w:val="0"/>
        <w:autoSpaceDN w:val="0"/>
        <w:adjustRightInd w:val="0"/>
        <w:spacing w:after="0" w:line="240" w:lineRule="auto"/>
        <w:rPr>
          <w:rFonts w:cs="FSLola"/>
          <w:color w:val="58595B"/>
          <w:sz w:val="22"/>
        </w:rPr>
      </w:pPr>
    </w:p>
    <w:p w14:paraId="4C3C3750" w14:textId="77777777" w:rsidR="00672601" w:rsidRPr="00672601" w:rsidRDefault="00672601" w:rsidP="00672601">
      <w:pPr>
        <w:autoSpaceDE w:val="0"/>
        <w:autoSpaceDN w:val="0"/>
        <w:adjustRightInd w:val="0"/>
        <w:spacing w:after="0" w:line="240" w:lineRule="auto"/>
        <w:rPr>
          <w:rFonts w:cs="FSLola"/>
          <w:color w:val="58595B"/>
          <w:sz w:val="22"/>
        </w:rPr>
      </w:pPr>
      <w:r w:rsidRPr="00672601">
        <w:rPr>
          <w:rFonts w:cs="FSLola"/>
          <w:color w:val="58595B"/>
          <w:sz w:val="22"/>
        </w:rPr>
        <w:t>This Statement on the role of the Chief Financial</w:t>
      </w:r>
      <w:r>
        <w:rPr>
          <w:rFonts w:cs="FSLola"/>
          <w:color w:val="58595B"/>
          <w:sz w:val="22"/>
        </w:rPr>
        <w:t xml:space="preserve"> </w:t>
      </w:r>
      <w:r w:rsidRPr="00672601">
        <w:rPr>
          <w:rFonts w:cs="FSLola"/>
          <w:color w:val="58595B"/>
          <w:sz w:val="22"/>
        </w:rPr>
        <w:t xml:space="preserve">Officer (CFO) in Local </w:t>
      </w:r>
      <w:r>
        <w:rPr>
          <w:rFonts w:cs="FSLola"/>
          <w:color w:val="58595B"/>
          <w:sz w:val="22"/>
        </w:rPr>
        <w:t>G</w:t>
      </w:r>
      <w:r w:rsidRPr="00672601">
        <w:rPr>
          <w:rFonts w:cs="FSLola"/>
          <w:color w:val="58595B"/>
          <w:sz w:val="22"/>
        </w:rPr>
        <w:t>overnment aims to give</w:t>
      </w:r>
      <w:r>
        <w:rPr>
          <w:rFonts w:cs="FSLola"/>
          <w:color w:val="58595B"/>
          <w:sz w:val="22"/>
        </w:rPr>
        <w:t xml:space="preserve"> </w:t>
      </w:r>
      <w:r w:rsidRPr="00672601">
        <w:rPr>
          <w:rFonts w:cs="FSLola"/>
          <w:color w:val="58595B"/>
          <w:sz w:val="22"/>
        </w:rPr>
        <w:t>detailed advice on how to apply the overarching</w:t>
      </w:r>
    </w:p>
    <w:p w14:paraId="3D22DF77" w14:textId="77777777" w:rsidR="00672601" w:rsidRPr="00672601" w:rsidRDefault="00672601" w:rsidP="00672601">
      <w:pPr>
        <w:autoSpaceDE w:val="0"/>
        <w:autoSpaceDN w:val="0"/>
        <w:adjustRightInd w:val="0"/>
        <w:spacing w:after="0" w:line="240" w:lineRule="auto"/>
        <w:rPr>
          <w:rFonts w:cs="FSLola"/>
          <w:color w:val="58595B"/>
          <w:sz w:val="22"/>
        </w:rPr>
      </w:pPr>
      <w:proofErr w:type="gramStart"/>
      <w:r w:rsidRPr="00672601">
        <w:rPr>
          <w:rFonts w:cs="FSLola"/>
          <w:color w:val="58595B"/>
          <w:sz w:val="22"/>
        </w:rPr>
        <w:t>public</w:t>
      </w:r>
      <w:proofErr w:type="gramEnd"/>
      <w:r w:rsidRPr="00672601">
        <w:rPr>
          <w:rFonts w:cs="FSLola"/>
          <w:color w:val="58595B"/>
          <w:sz w:val="22"/>
        </w:rPr>
        <w:t xml:space="preserve"> services Statement within local government.</w:t>
      </w:r>
      <w:r>
        <w:rPr>
          <w:rFonts w:cs="FSLola"/>
          <w:color w:val="58595B"/>
          <w:sz w:val="22"/>
        </w:rPr>
        <w:t xml:space="preserve"> </w:t>
      </w:r>
      <w:r w:rsidRPr="00672601">
        <w:rPr>
          <w:rFonts w:cs="FSLola"/>
          <w:color w:val="58595B"/>
          <w:sz w:val="22"/>
        </w:rPr>
        <w:t>The CFO in local government is not only bound</w:t>
      </w:r>
      <w:r>
        <w:rPr>
          <w:rFonts w:cs="FSLola"/>
          <w:color w:val="58595B"/>
          <w:sz w:val="22"/>
        </w:rPr>
        <w:t xml:space="preserve"> </w:t>
      </w:r>
      <w:r w:rsidRPr="00672601">
        <w:rPr>
          <w:rFonts w:cs="FSLola"/>
          <w:color w:val="58595B"/>
          <w:sz w:val="22"/>
        </w:rPr>
        <w:t>by professional standards but also by specific</w:t>
      </w:r>
      <w:r>
        <w:rPr>
          <w:rFonts w:cs="FSLola"/>
          <w:color w:val="58595B"/>
          <w:sz w:val="22"/>
        </w:rPr>
        <w:t xml:space="preserve"> </w:t>
      </w:r>
      <w:r w:rsidRPr="00672601">
        <w:rPr>
          <w:rFonts w:cs="FSLola"/>
          <w:color w:val="58595B"/>
          <w:sz w:val="22"/>
        </w:rPr>
        <w:t>legislative responsibilities. The role and</w:t>
      </w:r>
      <w:r>
        <w:rPr>
          <w:rFonts w:cs="FSLola"/>
          <w:color w:val="58595B"/>
          <w:sz w:val="22"/>
        </w:rPr>
        <w:t xml:space="preserve"> </w:t>
      </w:r>
      <w:r w:rsidRPr="00672601">
        <w:rPr>
          <w:rFonts w:cs="FSLola"/>
          <w:color w:val="58595B"/>
          <w:sz w:val="22"/>
        </w:rPr>
        <w:t>responsibilities of the ‘Treasurer’ were developed</w:t>
      </w:r>
    </w:p>
    <w:p w14:paraId="7DE3A52E" w14:textId="77777777" w:rsidR="00672601" w:rsidRPr="00672601" w:rsidRDefault="00672601" w:rsidP="00672601">
      <w:pPr>
        <w:autoSpaceDE w:val="0"/>
        <w:autoSpaceDN w:val="0"/>
        <w:adjustRightInd w:val="0"/>
        <w:spacing w:after="0" w:line="240" w:lineRule="auto"/>
        <w:rPr>
          <w:rFonts w:cs="FSLola"/>
          <w:color w:val="58595B"/>
          <w:sz w:val="22"/>
        </w:rPr>
      </w:pPr>
      <w:proofErr w:type="gramStart"/>
      <w:r w:rsidRPr="00672601">
        <w:rPr>
          <w:rFonts w:cs="FSLola"/>
          <w:color w:val="58595B"/>
          <w:sz w:val="22"/>
        </w:rPr>
        <w:t>by</w:t>
      </w:r>
      <w:proofErr w:type="gramEnd"/>
      <w:r w:rsidRPr="00672601">
        <w:rPr>
          <w:rFonts w:cs="FSLola"/>
          <w:color w:val="58595B"/>
          <w:sz w:val="22"/>
        </w:rPr>
        <w:t xml:space="preserve"> case law in England and Wales. In Attorney</w:t>
      </w:r>
      <w:r>
        <w:rPr>
          <w:rFonts w:cs="FSLola"/>
          <w:color w:val="58595B"/>
          <w:sz w:val="22"/>
        </w:rPr>
        <w:t xml:space="preserve"> G</w:t>
      </w:r>
      <w:r w:rsidRPr="00672601">
        <w:rPr>
          <w:rFonts w:cs="FSLola"/>
          <w:color w:val="58595B"/>
          <w:sz w:val="22"/>
        </w:rPr>
        <w:t xml:space="preserve">eneral </w:t>
      </w:r>
      <w:proofErr w:type="gramStart"/>
      <w:r w:rsidRPr="00672601">
        <w:rPr>
          <w:rFonts w:cs="FSLola"/>
          <w:color w:val="58595B"/>
          <w:sz w:val="22"/>
        </w:rPr>
        <w:t>v</w:t>
      </w:r>
      <w:proofErr w:type="gramEnd"/>
      <w:r w:rsidRPr="00672601">
        <w:rPr>
          <w:rFonts w:cs="FSLola"/>
          <w:color w:val="58595B"/>
          <w:sz w:val="22"/>
        </w:rPr>
        <w:t xml:space="preserve"> De Winton 1906, it was established</w:t>
      </w:r>
      <w:r>
        <w:rPr>
          <w:rFonts w:cs="FSLola"/>
          <w:color w:val="58595B"/>
          <w:sz w:val="22"/>
        </w:rPr>
        <w:t xml:space="preserve"> </w:t>
      </w:r>
      <w:r w:rsidRPr="00672601">
        <w:rPr>
          <w:rFonts w:cs="FSLola"/>
          <w:color w:val="58595B"/>
          <w:sz w:val="22"/>
        </w:rPr>
        <w:t>that the Treasurer is not merely a servant of the</w:t>
      </w:r>
      <w:r>
        <w:rPr>
          <w:rFonts w:cs="FSLola"/>
          <w:color w:val="58595B"/>
          <w:sz w:val="22"/>
        </w:rPr>
        <w:t xml:space="preserve"> </w:t>
      </w:r>
      <w:r w:rsidRPr="00672601">
        <w:rPr>
          <w:rFonts w:cs="FSLola"/>
          <w:color w:val="58595B"/>
          <w:sz w:val="22"/>
        </w:rPr>
        <w:t>authority, but holds a fiduciary responsibility</w:t>
      </w:r>
      <w:r>
        <w:rPr>
          <w:rFonts w:cs="FSLola"/>
          <w:color w:val="58595B"/>
          <w:sz w:val="22"/>
        </w:rPr>
        <w:t xml:space="preserve"> </w:t>
      </w:r>
      <w:r w:rsidRPr="00672601">
        <w:rPr>
          <w:rFonts w:cs="FSLola"/>
          <w:color w:val="58595B"/>
          <w:sz w:val="22"/>
        </w:rPr>
        <w:t>to the local taxpayers. Section 151 of the Local</w:t>
      </w:r>
      <w:r>
        <w:rPr>
          <w:rFonts w:cs="FSLola"/>
          <w:color w:val="58595B"/>
          <w:sz w:val="22"/>
        </w:rPr>
        <w:t xml:space="preserve"> </w:t>
      </w:r>
      <w:r w:rsidRPr="00672601">
        <w:rPr>
          <w:rFonts w:cs="FSLola"/>
          <w:color w:val="58595B"/>
          <w:sz w:val="22"/>
        </w:rPr>
        <w:t>Government Act 19722 requires local authorities to</w:t>
      </w:r>
      <w:r>
        <w:rPr>
          <w:rFonts w:cs="FSLola"/>
          <w:color w:val="58595B"/>
          <w:sz w:val="22"/>
        </w:rPr>
        <w:t xml:space="preserve"> </w:t>
      </w:r>
      <w:r w:rsidRPr="00672601">
        <w:rPr>
          <w:rFonts w:cs="FSLola"/>
          <w:color w:val="58595B"/>
          <w:sz w:val="22"/>
        </w:rPr>
        <w:t>make arrangements for the proper administration</w:t>
      </w:r>
      <w:r>
        <w:rPr>
          <w:rFonts w:cs="FSLola"/>
          <w:color w:val="58595B"/>
          <w:sz w:val="22"/>
        </w:rPr>
        <w:t xml:space="preserve"> </w:t>
      </w:r>
      <w:r w:rsidRPr="00672601">
        <w:rPr>
          <w:rFonts w:cs="FSLola"/>
          <w:color w:val="58595B"/>
          <w:sz w:val="22"/>
        </w:rPr>
        <w:t>of their financial affairs and appoint a CFO to have</w:t>
      </w:r>
    </w:p>
    <w:p w14:paraId="2144C475" w14:textId="77777777" w:rsidR="00672601" w:rsidRDefault="00672601" w:rsidP="00672601">
      <w:pPr>
        <w:autoSpaceDE w:val="0"/>
        <w:autoSpaceDN w:val="0"/>
        <w:adjustRightInd w:val="0"/>
        <w:spacing w:after="0" w:line="240" w:lineRule="auto"/>
        <w:rPr>
          <w:rFonts w:cs="FSLola"/>
          <w:color w:val="58595B"/>
          <w:sz w:val="22"/>
        </w:rPr>
      </w:pPr>
      <w:proofErr w:type="gramStart"/>
      <w:r w:rsidRPr="00672601">
        <w:rPr>
          <w:rFonts w:cs="FSLola"/>
          <w:color w:val="58595B"/>
          <w:sz w:val="22"/>
        </w:rPr>
        <w:t>responsibility</w:t>
      </w:r>
      <w:proofErr w:type="gramEnd"/>
      <w:r w:rsidRPr="00672601">
        <w:rPr>
          <w:rFonts w:cs="FSLola"/>
          <w:color w:val="58595B"/>
          <w:sz w:val="22"/>
        </w:rPr>
        <w:t xml:space="preserve"> for those arrangements</w:t>
      </w:r>
      <w:r>
        <w:rPr>
          <w:rFonts w:cs="FSLola"/>
          <w:color w:val="58595B"/>
          <w:sz w:val="22"/>
        </w:rPr>
        <w:t>.</w:t>
      </w:r>
    </w:p>
    <w:p w14:paraId="663181F6" w14:textId="77777777" w:rsidR="00672601" w:rsidRPr="00672601" w:rsidRDefault="00672601" w:rsidP="00672601">
      <w:pPr>
        <w:autoSpaceDE w:val="0"/>
        <w:autoSpaceDN w:val="0"/>
        <w:adjustRightInd w:val="0"/>
        <w:spacing w:after="0" w:line="240" w:lineRule="auto"/>
        <w:rPr>
          <w:rFonts w:cs="FSLola"/>
          <w:color w:val="58595B"/>
          <w:sz w:val="22"/>
        </w:rPr>
      </w:pPr>
    </w:p>
    <w:p w14:paraId="1453A2D2" w14:textId="77777777" w:rsidR="00672601" w:rsidRPr="00672601" w:rsidRDefault="00672601" w:rsidP="00672601">
      <w:pPr>
        <w:autoSpaceDE w:val="0"/>
        <w:autoSpaceDN w:val="0"/>
        <w:adjustRightInd w:val="0"/>
        <w:spacing w:after="0" w:line="240" w:lineRule="auto"/>
        <w:rPr>
          <w:rFonts w:cs="FSLola"/>
          <w:color w:val="58595B"/>
          <w:sz w:val="22"/>
        </w:rPr>
      </w:pPr>
      <w:r w:rsidRPr="00672601">
        <w:rPr>
          <w:rFonts w:cs="FSLola"/>
          <w:color w:val="58595B"/>
          <w:sz w:val="22"/>
        </w:rPr>
        <w:t>Section 95 of the Local Government (Scotland)</w:t>
      </w:r>
      <w:r>
        <w:rPr>
          <w:rFonts w:cs="FSLola"/>
          <w:color w:val="58595B"/>
          <w:sz w:val="22"/>
        </w:rPr>
        <w:t xml:space="preserve"> </w:t>
      </w:r>
      <w:r w:rsidRPr="00672601">
        <w:rPr>
          <w:rFonts w:cs="FSLola"/>
          <w:color w:val="58595B"/>
          <w:sz w:val="22"/>
        </w:rPr>
        <w:t>Act 1973 requires local authorities to make</w:t>
      </w:r>
      <w:r>
        <w:rPr>
          <w:rFonts w:cs="FSLola"/>
          <w:color w:val="58595B"/>
          <w:sz w:val="22"/>
        </w:rPr>
        <w:t xml:space="preserve"> </w:t>
      </w:r>
      <w:r w:rsidRPr="00672601">
        <w:rPr>
          <w:rFonts w:cs="FSLola"/>
          <w:color w:val="58595B"/>
          <w:sz w:val="22"/>
        </w:rPr>
        <w:t>arrangements for the proper administration of</w:t>
      </w:r>
    </w:p>
    <w:p w14:paraId="679A0DB5" w14:textId="77777777" w:rsidR="00672601" w:rsidRPr="00672601" w:rsidRDefault="00672601" w:rsidP="00672601">
      <w:pPr>
        <w:autoSpaceDE w:val="0"/>
        <w:autoSpaceDN w:val="0"/>
        <w:adjustRightInd w:val="0"/>
        <w:spacing w:after="0" w:line="240" w:lineRule="auto"/>
        <w:rPr>
          <w:rFonts w:cs="FSLola"/>
          <w:color w:val="58595B"/>
          <w:sz w:val="22"/>
        </w:rPr>
      </w:pPr>
      <w:proofErr w:type="gramStart"/>
      <w:r w:rsidRPr="00672601">
        <w:rPr>
          <w:rFonts w:cs="FSLola"/>
          <w:color w:val="58595B"/>
          <w:sz w:val="22"/>
        </w:rPr>
        <w:t>their</w:t>
      </w:r>
      <w:proofErr w:type="gramEnd"/>
      <w:r w:rsidRPr="00672601">
        <w:rPr>
          <w:rFonts w:cs="FSLola"/>
          <w:color w:val="58595B"/>
          <w:sz w:val="22"/>
        </w:rPr>
        <w:t xml:space="preserve"> financial affairs and appoint a CFO to have</w:t>
      </w:r>
      <w:r>
        <w:rPr>
          <w:rFonts w:cs="FSLola"/>
          <w:color w:val="58595B"/>
          <w:sz w:val="22"/>
        </w:rPr>
        <w:t xml:space="preserve"> </w:t>
      </w:r>
      <w:r w:rsidRPr="00672601">
        <w:rPr>
          <w:rFonts w:cs="FSLola"/>
          <w:color w:val="58595B"/>
          <w:sz w:val="22"/>
        </w:rPr>
        <w:t>responsibility for those arrangements. In Northern</w:t>
      </w:r>
      <w:r>
        <w:rPr>
          <w:rFonts w:cs="FSLola"/>
          <w:color w:val="58595B"/>
          <w:sz w:val="22"/>
        </w:rPr>
        <w:t xml:space="preserve"> </w:t>
      </w:r>
      <w:r w:rsidRPr="00672601">
        <w:rPr>
          <w:rFonts w:cs="FSLola"/>
          <w:color w:val="58595B"/>
          <w:sz w:val="22"/>
        </w:rPr>
        <w:t>Ireland, section 54 of the Local Government Act</w:t>
      </w:r>
    </w:p>
    <w:p w14:paraId="1C0CB42B" w14:textId="77777777" w:rsidR="00672601" w:rsidRDefault="00672601" w:rsidP="00672601">
      <w:pPr>
        <w:autoSpaceDE w:val="0"/>
        <w:autoSpaceDN w:val="0"/>
        <w:adjustRightInd w:val="0"/>
        <w:spacing w:after="0" w:line="240" w:lineRule="auto"/>
        <w:rPr>
          <w:rFonts w:cs="FSLola"/>
          <w:color w:val="58595B"/>
          <w:sz w:val="22"/>
        </w:rPr>
      </w:pPr>
      <w:r w:rsidRPr="00672601">
        <w:rPr>
          <w:rFonts w:cs="FSLola"/>
          <w:color w:val="58595B"/>
          <w:sz w:val="22"/>
        </w:rPr>
        <w:t>(Northern Ireland) 1972 requires local authorities</w:t>
      </w:r>
      <w:r>
        <w:rPr>
          <w:rFonts w:cs="FSLola"/>
          <w:color w:val="58595B"/>
          <w:sz w:val="22"/>
        </w:rPr>
        <w:t xml:space="preserve"> </w:t>
      </w:r>
      <w:r w:rsidRPr="00672601">
        <w:rPr>
          <w:rFonts w:cs="FSLola"/>
          <w:color w:val="58595B"/>
          <w:sz w:val="22"/>
        </w:rPr>
        <w:t>to make safe and efficient arrangements for</w:t>
      </w:r>
      <w:r>
        <w:rPr>
          <w:rFonts w:cs="FSLola"/>
          <w:color w:val="58595B"/>
          <w:sz w:val="22"/>
        </w:rPr>
        <w:t xml:space="preserve"> </w:t>
      </w:r>
      <w:r w:rsidRPr="00672601">
        <w:rPr>
          <w:rFonts w:cs="FSLola"/>
          <w:color w:val="58595B"/>
          <w:sz w:val="22"/>
        </w:rPr>
        <w:t>the receipt of money paid to it and the issue of</w:t>
      </w:r>
      <w:r>
        <w:rPr>
          <w:rFonts w:cs="FSLola"/>
          <w:color w:val="58595B"/>
          <w:sz w:val="22"/>
        </w:rPr>
        <w:t xml:space="preserve"> </w:t>
      </w:r>
      <w:r w:rsidRPr="00672601">
        <w:rPr>
          <w:rFonts w:cs="FSLola"/>
          <w:color w:val="58595B"/>
          <w:sz w:val="22"/>
        </w:rPr>
        <w:t>money payable by it and for those arrangements</w:t>
      </w:r>
      <w:r>
        <w:rPr>
          <w:rFonts w:cs="FSLola"/>
          <w:color w:val="58595B"/>
          <w:sz w:val="22"/>
        </w:rPr>
        <w:t xml:space="preserve"> </w:t>
      </w:r>
      <w:r w:rsidRPr="00672601">
        <w:rPr>
          <w:rFonts w:cs="FSLola"/>
          <w:color w:val="58595B"/>
          <w:sz w:val="22"/>
        </w:rPr>
        <w:t>to be carried out under the supervision the chief</w:t>
      </w:r>
      <w:r>
        <w:rPr>
          <w:rFonts w:cs="FSLola"/>
          <w:color w:val="58595B"/>
          <w:sz w:val="22"/>
        </w:rPr>
        <w:t xml:space="preserve"> </w:t>
      </w:r>
      <w:r w:rsidRPr="00672601">
        <w:rPr>
          <w:rFonts w:cs="FSLola"/>
          <w:color w:val="58595B"/>
          <w:sz w:val="22"/>
        </w:rPr>
        <w:t>financial officer.</w:t>
      </w:r>
    </w:p>
    <w:p w14:paraId="2E68A02D" w14:textId="77777777" w:rsidR="00672601" w:rsidRPr="00672601" w:rsidRDefault="00672601" w:rsidP="00672601">
      <w:pPr>
        <w:autoSpaceDE w:val="0"/>
        <w:autoSpaceDN w:val="0"/>
        <w:adjustRightInd w:val="0"/>
        <w:spacing w:after="0" w:line="240" w:lineRule="auto"/>
        <w:rPr>
          <w:rFonts w:cs="FSLola"/>
          <w:color w:val="58595B"/>
          <w:sz w:val="22"/>
        </w:rPr>
      </w:pPr>
    </w:p>
    <w:p w14:paraId="7ED5ADEB" w14:textId="77777777" w:rsidR="00672601" w:rsidRPr="00672601" w:rsidRDefault="00672601" w:rsidP="00672601">
      <w:pPr>
        <w:autoSpaceDE w:val="0"/>
        <w:autoSpaceDN w:val="0"/>
        <w:adjustRightInd w:val="0"/>
        <w:spacing w:after="0" w:line="240" w:lineRule="auto"/>
        <w:rPr>
          <w:rFonts w:cs="FSLola"/>
          <w:color w:val="58595B"/>
          <w:sz w:val="22"/>
        </w:rPr>
      </w:pPr>
      <w:r w:rsidRPr="00672601">
        <w:rPr>
          <w:rFonts w:cs="FSLola"/>
          <w:color w:val="58595B"/>
          <w:sz w:val="22"/>
        </w:rPr>
        <w:t>Th</w:t>
      </w:r>
      <w:r>
        <w:rPr>
          <w:rFonts w:cs="FSLola"/>
          <w:color w:val="58595B"/>
          <w:sz w:val="22"/>
        </w:rPr>
        <w:t>e</w:t>
      </w:r>
      <w:r w:rsidRPr="00672601">
        <w:rPr>
          <w:rFonts w:cs="FSLola"/>
          <w:color w:val="58595B"/>
          <w:sz w:val="22"/>
        </w:rPr>
        <w:t xml:space="preserve"> Statement sets out how the requirements of</w:t>
      </w:r>
      <w:r>
        <w:rPr>
          <w:rFonts w:cs="FSLola"/>
          <w:color w:val="58595B"/>
          <w:sz w:val="22"/>
        </w:rPr>
        <w:t xml:space="preserve"> </w:t>
      </w:r>
      <w:r w:rsidRPr="00672601">
        <w:rPr>
          <w:rFonts w:cs="FSLola"/>
          <w:color w:val="58595B"/>
          <w:sz w:val="22"/>
        </w:rPr>
        <w:t>legislation and professional standards should be</w:t>
      </w:r>
      <w:r>
        <w:rPr>
          <w:rFonts w:cs="FSLola"/>
          <w:color w:val="58595B"/>
          <w:sz w:val="22"/>
        </w:rPr>
        <w:t xml:space="preserve"> </w:t>
      </w:r>
      <w:r w:rsidRPr="00672601">
        <w:rPr>
          <w:rFonts w:cs="FSLola"/>
          <w:color w:val="58595B"/>
          <w:sz w:val="22"/>
        </w:rPr>
        <w:t xml:space="preserve">fulfilled by CFOs in </w:t>
      </w:r>
      <w:r>
        <w:rPr>
          <w:rFonts w:cs="FSLola"/>
          <w:color w:val="58595B"/>
          <w:sz w:val="22"/>
        </w:rPr>
        <w:t xml:space="preserve">the carrying out of their role. </w:t>
      </w:r>
      <w:r w:rsidRPr="00672601">
        <w:rPr>
          <w:rFonts w:cs="FSLola"/>
          <w:color w:val="58595B"/>
          <w:sz w:val="22"/>
        </w:rPr>
        <w:t>It is intended to codify the key</w:t>
      </w:r>
      <w:r>
        <w:rPr>
          <w:rFonts w:cs="FSLola"/>
          <w:color w:val="58595B"/>
          <w:sz w:val="22"/>
        </w:rPr>
        <w:t xml:space="preserve"> </w:t>
      </w:r>
      <w:r w:rsidRPr="00672601">
        <w:rPr>
          <w:rFonts w:cs="FSLola"/>
          <w:color w:val="58595B"/>
          <w:sz w:val="22"/>
        </w:rPr>
        <w:t>responsibilities of the CFO in local government</w:t>
      </w:r>
    </w:p>
    <w:p w14:paraId="667E0CD3" w14:textId="77777777" w:rsidR="00672601" w:rsidRPr="00672601" w:rsidRDefault="00672601" w:rsidP="00672601">
      <w:pPr>
        <w:autoSpaceDE w:val="0"/>
        <w:autoSpaceDN w:val="0"/>
        <w:adjustRightInd w:val="0"/>
        <w:spacing w:after="0" w:line="240" w:lineRule="auto"/>
        <w:rPr>
          <w:rFonts w:cs="FSLola"/>
          <w:color w:val="58595B"/>
          <w:sz w:val="22"/>
        </w:rPr>
      </w:pPr>
      <w:proofErr w:type="gramStart"/>
      <w:r w:rsidRPr="00672601">
        <w:rPr>
          <w:rFonts w:cs="FSLola"/>
          <w:color w:val="58595B"/>
          <w:sz w:val="22"/>
        </w:rPr>
        <w:t>and</w:t>
      </w:r>
      <w:proofErr w:type="gramEnd"/>
      <w:r w:rsidRPr="00672601">
        <w:rPr>
          <w:rFonts w:cs="FSLola"/>
          <w:color w:val="58595B"/>
          <w:sz w:val="22"/>
        </w:rPr>
        <w:t xml:space="preserve"> assist those carrying out that role in ensuring</w:t>
      </w:r>
      <w:r>
        <w:rPr>
          <w:rFonts w:cs="FSLola"/>
          <w:color w:val="58595B"/>
          <w:sz w:val="22"/>
        </w:rPr>
        <w:t xml:space="preserve"> </w:t>
      </w:r>
      <w:r w:rsidRPr="00672601">
        <w:rPr>
          <w:rFonts w:cs="FSLola"/>
          <w:color w:val="58595B"/>
          <w:sz w:val="22"/>
        </w:rPr>
        <w:t>that they meet the key personal duties of the</w:t>
      </w:r>
      <w:r>
        <w:rPr>
          <w:rFonts w:cs="FSLola"/>
          <w:color w:val="58595B"/>
          <w:sz w:val="22"/>
        </w:rPr>
        <w:t xml:space="preserve"> </w:t>
      </w:r>
      <w:r w:rsidRPr="00672601">
        <w:rPr>
          <w:rFonts w:cs="FSLola"/>
          <w:color w:val="58595B"/>
          <w:sz w:val="22"/>
        </w:rPr>
        <w:t>role.</w:t>
      </w:r>
    </w:p>
    <w:p w14:paraId="0CBEEF9E" w14:textId="77777777" w:rsidR="00672601" w:rsidRPr="00672601" w:rsidRDefault="00672601" w:rsidP="00672601">
      <w:pPr>
        <w:autoSpaceDE w:val="0"/>
        <w:autoSpaceDN w:val="0"/>
        <w:adjustRightInd w:val="0"/>
        <w:spacing w:after="0" w:line="240" w:lineRule="auto"/>
        <w:rPr>
          <w:rFonts w:cs="FSLola"/>
          <w:color w:val="58595B"/>
          <w:sz w:val="22"/>
        </w:rPr>
      </w:pPr>
    </w:p>
    <w:p w14:paraId="13FB48A2" w14:textId="77777777" w:rsidR="00672601" w:rsidRDefault="00672601" w:rsidP="00672601">
      <w:pPr>
        <w:autoSpaceDE w:val="0"/>
        <w:autoSpaceDN w:val="0"/>
        <w:adjustRightInd w:val="0"/>
        <w:spacing w:after="0" w:line="240" w:lineRule="auto"/>
        <w:rPr>
          <w:rFonts w:cs="FSLola"/>
          <w:color w:val="58595B"/>
          <w:sz w:val="22"/>
        </w:rPr>
      </w:pPr>
      <w:r w:rsidRPr="00672601">
        <w:rPr>
          <w:rFonts w:cs="FSLola"/>
          <w:color w:val="58595B"/>
          <w:sz w:val="22"/>
        </w:rPr>
        <w:t>The CFO occupies a critical position in any organisation, holding the financial reins</w:t>
      </w:r>
      <w:r>
        <w:rPr>
          <w:rFonts w:cs="FSLola"/>
          <w:color w:val="58595B"/>
          <w:sz w:val="22"/>
        </w:rPr>
        <w:t xml:space="preserve"> </w:t>
      </w:r>
      <w:r w:rsidRPr="00672601">
        <w:rPr>
          <w:rFonts w:cs="FSLola"/>
          <w:color w:val="58595B"/>
          <w:sz w:val="22"/>
        </w:rPr>
        <w:t>of the business and ensuring that resources are used wisely to secure positive</w:t>
      </w:r>
      <w:r>
        <w:rPr>
          <w:rFonts w:cs="FSLola"/>
          <w:color w:val="58595B"/>
          <w:sz w:val="22"/>
        </w:rPr>
        <w:t xml:space="preserve"> </w:t>
      </w:r>
      <w:r w:rsidRPr="00672601">
        <w:rPr>
          <w:rFonts w:cs="FSLola"/>
          <w:color w:val="58595B"/>
          <w:sz w:val="22"/>
        </w:rPr>
        <w:t>results. While the global financial crisis and economic downturn have made</w:t>
      </w:r>
      <w:r>
        <w:rPr>
          <w:rFonts w:cs="FSLola"/>
          <w:color w:val="58595B"/>
          <w:sz w:val="22"/>
        </w:rPr>
        <w:t xml:space="preserve"> </w:t>
      </w:r>
      <w:r w:rsidRPr="00672601">
        <w:rPr>
          <w:rFonts w:cs="FSLola"/>
          <w:color w:val="58595B"/>
          <w:sz w:val="22"/>
        </w:rPr>
        <w:t>these tasks even more challenging, they have also underlined the fundamental</w:t>
      </w:r>
      <w:r>
        <w:rPr>
          <w:rFonts w:cs="FSLola"/>
          <w:color w:val="58595B"/>
          <w:sz w:val="22"/>
        </w:rPr>
        <w:t xml:space="preserve"> </w:t>
      </w:r>
      <w:r w:rsidRPr="00672601">
        <w:rPr>
          <w:rFonts w:cs="FSLola"/>
          <w:color w:val="58595B"/>
          <w:sz w:val="22"/>
        </w:rPr>
        <w:t>importance of the role. Achieving value for money and securing stewardship are key</w:t>
      </w:r>
      <w:r>
        <w:rPr>
          <w:rFonts w:cs="FSLola"/>
          <w:color w:val="58595B"/>
          <w:sz w:val="22"/>
        </w:rPr>
        <w:t xml:space="preserve"> </w:t>
      </w:r>
      <w:r w:rsidRPr="00672601">
        <w:rPr>
          <w:rFonts w:cs="FSLola"/>
          <w:color w:val="58595B"/>
          <w:sz w:val="22"/>
        </w:rPr>
        <w:t>components of the CFO’s role in public service organisations.</w:t>
      </w:r>
    </w:p>
    <w:p w14:paraId="2A1E263A" w14:textId="77777777" w:rsidR="00672601" w:rsidRPr="00672601" w:rsidRDefault="00672601" w:rsidP="00672601">
      <w:pPr>
        <w:autoSpaceDE w:val="0"/>
        <w:autoSpaceDN w:val="0"/>
        <w:adjustRightInd w:val="0"/>
        <w:spacing w:after="0" w:line="240" w:lineRule="auto"/>
        <w:rPr>
          <w:rFonts w:cs="FSLola"/>
          <w:color w:val="58595B"/>
          <w:sz w:val="22"/>
        </w:rPr>
      </w:pPr>
    </w:p>
    <w:p w14:paraId="61AD3B76" w14:textId="77777777" w:rsidR="00355128" w:rsidRDefault="00672601" w:rsidP="00672601">
      <w:pPr>
        <w:rPr>
          <w:rFonts w:cs="FSLola"/>
          <w:color w:val="58595B"/>
          <w:sz w:val="22"/>
        </w:rPr>
      </w:pPr>
      <w:r>
        <w:rPr>
          <w:rFonts w:cs="FSLola"/>
          <w:color w:val="58595B"/>
          <w:sz w:val="22"/>
        </w:rPr>
        <w:t xml:space="preserve">Those organisations are changing however with an ever increasing number of services being provided in partnership with other public bodies and the third sector or being outsourced entirely </w:t>
      </w:r>
      <w:proofErr w:type="gramStart"/>
      <w:r>
        <w:rPr>
          <w:rFonts w:cs="FSLola"/>
          <w:color w:val="58595B"/>
          <w:sz w:val="22"/>
        </w:rPr>
        <w:t>to</w:t>
      </w:r>
      <w:proofErr w:type="gramEnd"/>
      <w:r>
        <w:rPr>
          <w:rFonts w:cs="FSLola"/>
          <w:color w:val="58595B"/>
          <w:sz w:val="22"/>
        </w:rPr>
        <w:t xml:space="preserve"> external </w:t>
      </w:r>
      <w:r w:rsidR="00355128">
        <w:rPr>
          <w:rFonts w:cs="FSLola"/>
          <w:color w:val="58595B"/>
          <w:sz w:val="22"/>
        </w:rPr>
        <w:t>majority now having</w:t>
      </w:r>
      <w:r>
        <w:rPr>
          <w:rFonts w:cs="FSLola"/>
          <w:color w:val="58595B"/>
          <w:sz w:val="22"/>
        </w:rPr>
        <w:t xml:space="preserve"> portfolio</w:t>
      </w:r>
      <w:r w:rsidR="00355128">
        <w:rPr>
          <w:rFonts w:cs="FSLola"/>
          <w:color w:val="58595B"/>
          <w:sz w:val="22"/>
        </w:rPr>
        <w:t>s that are wider than just finance and an increasing number becoming involved in setting up independent trusts, partnerships and commercial joint ventures. These wider roles both present an opportunity and a risk to the CFO in developing and maintaining their key roles as guardians of public money.</w:t>
      </w:r>
    </w:p>
    <w:p w14:paraId="4DCF0724" w14:textId="77777777" w:rsidR="00672601" w:rsidRDefault="00355128" w:rsidP="00672601">
      <w:pPr>
        <w:rPr>
          <w:rFonts w:cs="FSLola"/>
          <w:color w:val="58595B"/>
          <w:sz w:val="22"/>
        </w:rPr>
      </w:pPr>
      <w:r>
        <w:rPr>
          <w:rFonts w:cs="FSLola"/>
          <w:color w:val="58595B"/>
          <w:sz w:val="22"/>
        </w:rPr>
        <w:t xml:space="preserve">It is against this background that CIPFA is consulting on the need to update the statement to deal more explicitly with both the wider roles that CFO’s play in </w:t>
      </w:r>
      <w:r>
        <w:rPr>
          <w:rFonts w:cs="FSLola"/>
          <w:color w:val="58595B"/>
          <w:sz w:val="22"/>
        </w:rPr>
        <w:lastRenderedPageBreak/>
        <w:t xml:space="preserve">today’s local authorities and </w:t>
      </w:r>
      <w:r w:rsidR="00E10BB9">
        <w:rPr>
          <w:rFonts w:cs="FSLola"/>
          <w:color w:val="58595B"/>
          <w:sz w:val="22"/>
        </w:rPr>
        <w:t xml:space="preserve">recognise the need to ensure probity of public money spent through different arrangements whilst balancing the CFO’s ability to direct in detail how such money is spent. </w:t>
      </w:r>
    </w:p>
    <w:p w14:paraId="1A51D1CA" w14:textId="77777777" w:rsidR="00E10BB9" w:rsidRDefault="00E10BB9" w:rsidP="00672601">
      <w:pPr>
        <w:rPr>
          <w:rFonts w:cs="FSLola"/>
          <w:color w:val="58595B"/>
          <w:sz w:val="22"/>
        </w:rPr>
      </w:pPr>
      <w:r>
        <w:rPr>
          <w:rFonts w:cs="FSLola"/>
          <w:color w:val="58595B"/>
          <w:sz w:val="22"/>
        </w:rPr>
        <w:t>This consultation has been kept intentionally broad to allow a wide ranging discussion of the issues we are trying to address. Following an analysis of responses a further consultation on more detailed proposals for change will be issued in the autumn. The aim is to publish the updated statement in late 2014/early 2015 although the timing may change as a result of the consultation.</w:t>
      </w:r>
    </w:p>
    <w:p w14:paraId="4FE9E077" w14:textId="1E0F0CF1" w:rsidR="00E10BB9" w:rsidRDefault="00E10BB9" w:rsidP="00672601">
      <w:pPr>
        <w:rPr>
          <w:rFonts w:cs="FSLola"/>
          <w:color w:val="58595B"/>
          <w:sz w:val="22"/>
        </w:rPr>
      </w:pPr>
      <w:r>
        <w:rPr>
          <w:rFonts w:cs="FSLola"/>
          <w:color w:val="58595B"/>
          <w:sz w:val="22"/>
        </w:rPr>
        <w:t xml:space="preserve">Responses to this consultation should be made in the attached word document and returned to </w:t>
      </w:r>
      <w:hyperlink r:id="rId6" w:history="1">
        <w:r w:rsidR="009035AF" w:rsidRPr="00A16944">
          <w:rPr>
            <w:rStyle w:val="Hyperlink"/>
            <w:rFonts w:cs="FSLola"/>
            <w:sz w:val="22"/>
          </w:rPr>
          <w:t>alison.scott@cipfa.org</w:t>
        </w:r>
      </w:hyperlink>
      <w:r w:rsidR="009035AF">
        <w:rPr>
          <w:rFonts w:cs="FSLola"/>
          <w:sz w:val="22"/>
        </w:rPr>
        <w:t xml:space="preserve"> </w:t>
      </w:r>
      <w:r>
        <w:rPr>
          <w:rFonts w:cs="FSLola"/>
          <w:color w:val="58595B"/>
          <w:sz w:val="22"/>
        </w:rPr>
        <w:t xml:space="preserve">by Wednesday </w:t>
      </w:r>
      <w:r w:rsidR="00290324">
        <w:rPr>
          <w:rFonts w:cs="FSLola"/>
          <w:color w:val="58595B"/>
          <w:sz w:val="22"/>
        </w:rPr>
        <w:t>24</w:t>
      </w:r>
      <w:r w:rsidR="00290324" w:rsidRPr="00290324">
        <w:rPr>
          <w:rFonts w:cs="FSLola"/>
          <w:color w:val="58595B"/>
          <w:sz w:val="22"/>
          <w:vertAlign w:val="superscript"/>
        </w:rPr>
        <w:t>th</w:t>
      </w:r>
      <w:r w:rsidR="00290324">
        <w:rPr>
          <w:rFonts w:cs="FSLola"/>
          <w:color w:val="58595B"/>
          <w:sz w:val="22"/>
        </w:rPr>
        <w:t xml:space="preserve"> </w:t>
      </w:r>
      <w:r>
        <w:rPr>
          <w:rFonts w:cs="FSLola"/>
          <w:color w:val="58595B"/>
          <w:sz w:val="22"/>
        </w:rPr>
        <w:t>September 2014.</w:t>
      </w:r>
    </w:p>
    <w:p w14:paraId="5A5503E7" w14:textId="77777777" w:rsidR="00E10BB9" w:rsidRDefault="00E10BB9" w:rsidP="00382B33">
      <w:pPr>
        <w:spacing w:before="120" w:after="120" w:line="240" w:lineRule="auto"/>
        <w:rPr>
          <w:sz w:val="22"/>
        </w:rPr>
      </w:pPr>
      <w:r>
        <w:rPr>
          <w:sz w:val="22"/>
        </w:rPr>
        <w:br w:type="page"/>
      </w:r>
    </w:p>
    <w:p w14:paraId="0A83AA7C" w14:textId="77777777" w:rsidR="00E10BB9" w:rsidRPr="00E10BB9" w:rsidRDefault="00E10BB9" w:rsidP="00382B33">
      <w:pPr>
        <w:spacing w:before="240" w:after="240" w:line="240" w:lineRule="auto"/>
        <w:jc w:val="center"/>
        <w:rPr>
          <w:b/>
        </w:rPr>
      </w:pPr>
      <w:r w:rsidRPr="00E10BB9">
        <w:rPr>
          <w:b/>
        </w:rPr>
        <w:lastRenderedPageBreak/>
        <w:t>CIPFA CONSULTATION ON ITS STATEMENT ON THE ROLE OF THE CFO IN LOCAL GOVERNMENT</w:t>
      </w:r>
    </w:p>
    <w:p w14:paraId="78300A4B" w14:textId="77777777" w:rsidR="00E10BB9" w:rsidRDefault="00E10BB9" w:rsidP="00382B33">
      <w:pPr>
        <w:spacing w:before="240" w:after="240" w:line="240" w:lineRule="auto"/>
        <w:jc w:val="center"/>
        <w:rPr>
          <w:b/>
        </w:rPr>
      </w:pPr>
      <w:r w:rsidRPr="00E10BB9">
        <w:rPr>
          <w:b/>
        </w:rPr>
        <w:t>JULY 2014</w:t>
      </w:r>
    </w:p>
    <w:p w14:paraId="6607E8BD" w14:textId="77777777" w:rsidR="000D5C55" w:rsidRDefault="000D5C55" w:rsidP="00382B33">
      <w:pPr>
        <w:spacing w:before="240" w:after="240" w:line="240" w:lineRule="auto"/>
        <w:rPr>
          <w:b/>
        </w:rPr>
      </w:pPr>
      <w:r>
        <w:rPr>
          <w:b/>
        </w:rPr>
        <w:t>General Questions on the Statement</w:t>
      </w:r>
    </w:p>
    <w:tbl>
      <w:tblPr>
        <w:tblStyle w:val="TableGrid"/>
        <w:tblW w:w="0" w:type="auto"/>
        <w:tblLook w:val="04A0" w:firstRow="1" w:lastRow="0" w:firstColumn="1" w:lastColumn="0" w:noHBand="0" w:noVBand="1"/>
      </w:tblPr>
      <w:tblGrid>
        <w:gridCol w:w="675"/>
        <w:gridCol w:w="7088"/>
        <w:gridCol w:w="1479"/>
      </w:tblGrid>
      <w:tr w:rsidR="000D5C55" w14:paraId="40BDA28B" w14:textId="77777777" w:rsidTr="00845AFE">
        <w:tc>
          <w:tcPr>
            <w:tcW w:w="675" w:type="dxa"/>
          </w:tcPr>
          <w:p w14:paraId="5878807D" w14:textId="77777777" w:rsidR="000D5C55" w:rsidRDefault="000D5C55" w:rsidP="00382B33">
            <w:pPr>
              <w:spacing w:before="240" w:after="240"/>
              <w:rPr>
                <w:sz w:val="22"/>
              </w:rPr>
            </w:pPr>
            <w:r>
              <w:rPr>
                <w:sz w:val="22"/>
              </w:rPr>
              <w:t>Q1</w:t>
            </w:r>
          </w:p>
        </w:tc>
        <w:tc>
          <w:tcPr>
            <w:tcW w:w="7088" w:type="dxa"/>
          </w:tcPr>
          <w:p w14:paraId="21E60F7B" w14:textId="77777777" w:rsidR="000D5C55" w:rsidRDefault="000D5C55" w:rsidP="00382B33">
            <w:pPr>
              <w:spacing w:before="240" w:after="240"/>
              <w:rPr>
                <w:sz w:val="22"/>
              </w:rPr>
            </w:pPr>
            <w:r>
              <w:rPr>
                <w:sz w:val="22"/>
              </w:rPr>
              <w:t xml:space="preserve">Do you </w:t>
            </w:r>
            <w:r w:rsidR="003C536F">
              <w:rPr>
                <w:sz w:val="22"/>
              </w:rPr>
              <w:t xml:space="preserve">find the current </w:t>
            </w:r>
            <w:r>
              <w:rPr>
                <w:sz w:val="22"/>
              </w:rPr>
              <w:t xml:space="preserve">Statement </w:t>
            </w:r>
            <w:r w:rsidR="003C536F">
              <w:rPr>
                <w:sz w:val="22"/>
              </w:rPr>
              <w:t xml:space="preserve">helpful as a definitive source of </w:t>
            </w:r>
            <w:r w:rsidR="00CF1C29">
              <w:rPr>
                <w:sz w:val="22"/>
              </w:rPr>
              <w:t>reference</w:t>
            </w:r>
            <w:r w:rsidR="003C536F">
              <w:rPr>
                <w:sz w:val="22"/>
              </w:rPr>
              <w:t xml:space="preserve"> on the role of the</w:t>
            </w:r>
            <w:r>
              <w:rPr>
                <w:sz w:val="22"/>
              </w:rPr>
              <w:t xml:space="preserve"> CFOs</w:t>
            </w:r>
          </w:p>
        </w:tc>
        <w:tc>
          <w:tcPr>
            <w:tcW w:w="1479" w:type="dxa"/>
          </w:tcPr>
          <w:p w14:paraId="11ECB3E2" w14:textId="77777777" w:rsidR="000D5C55" w:rsidRDefault="000D5C55" w:rsidP="00382B33">
            <w:pPr>
              <w:spacing w:before="240" w:after="240"/>
              <w:jc w:val="center"/>
              <w:rPr>
                <w:sz w:val="22"/>
              </w:rPr>
            </w:pPr>
            <w:r>
              <w:rPr>
                <w:sz w:val="22"/>
              </w:rPr>
              <w:t>YES/NO</w:t>
            </w:r>
          </w:p>
        </w:tc>
      </w:tr>
      <w:tr w:rsidR="00382B33" w14:paraId="21B68176" w14:textId="77777777" w:rsidTr="00845AFE">
        <w:tc>
          <w:tcPr>
            <w:tcW w:w="675" w:type="dxa"/>
            <w:vMerge w:val="restart"/>
          </w:tcPr>
          <w:p w14:paraId="4611863D" w14:textId="77777777" w:rsidR="00382B33" w:rsidRDefault="00382B33" w:rsidP="00382B33">
            <w:pPr>
              <w:spacing w:before="240" w:after="240"/>
              <w:rPr>
                <w:sz w:val="22"/>
              </w:rPr>
            </w:pPr>
            <w:r>
              <w:rPr>
                <w:sz w:val="22"/>
              </w:rPr>
              <w:t>Q1a</w:t>
            </w:r>
          </w:p>
        </w:tc>
        <w:tc>
          <w:tcPr>
            <w:tcW w:w="8567" w:type="dxa"/>
            <w:gridSpan w:val="2"/>
          </w:tcPr>
          <w:p w14:paraId="2957A089" w14:textId="77777777" w:rsidR="00382B33" w:rsidRDefault="00382B33" w:rsidP="00382B33">
            <w:pPr>
              <w:spacing w:before="240" w:after="240"/>
              <w:rPr>
                <w:sz w:val="22"/>
              </w:rPr>
            </w:pPr>
            <w:r>
              <w:rPr>
                <w:sz w:val="22"/>
              </w:rPr>
              <w:t xml:space="preserve">If no, how could the current statement </w:t>
            </w:r>
            <w:proofErr w:type="gramStart"/>
            <w:r>
              <w:rPr>
                <w:sz w:val="22"/>
              </w:rPr>
              <w:t>be</w:t>
            </w:r>
            <w:proofErr w:type="gramEnd"/>
            <w:r>
              <w:rPr>
                <w:sz w:val="22"/>
              </w:rPr>
              <w:t xml:space="preserve"> improved? </w:t>
            </w:r>
          </w:p>
        </w:tc>
      </w:tr>
      <w:tr w:rsidR="00382B33" w14:paraId="30FB0351" w14:textId="77777777" w:rsidTr="00382B33">
        <w:trPr>
          <w:trHeight w:val="1134"/>
        </w:trPr>
        <w:tc>
          <w:tcPr>
            <w:tcW w:w="675" w:type="dxa"/>
            <w:vMerge/>
          </w:tcPr>
          <w:p w14:paraId="71914F9A" w14:textId="77777777" w:rsidR="00382B33" w:rsidRDefault="00382B33" w:rsidP="00382B33">
            <w:pPr>
              <w:spacing w:before="240" w:after="240"/>
              <w:rPr>
                <w:sz w:val="22"/>
              </w:rPr>
            </w:pPr>
          </w:p>
        </w:tc>
        <w:tc>
          <w:tcPr>
            <w:tcW w:w="8567" w:type="dxa"/>
            <w:gridSpan w:val="2"/>
          </w:tcPr>
          <w:p w14:paraId="6EA7A893" w14:textId="77777777" w:rsidR="00382B33" w:rsidRDefault="00382B33" w:rsidP="00382B33">
            <w:pPr>
              <w:spacing w:before="240" w:after="240"/>
              <w:rPr>
                <w:sz w:val="22"/>
              </w:rPr>
            </w:pPr>
          </w:p>
        </w:tc>
      </w:tr>
      <w:tr w:rsidR="00CF1C29" w14:paraId="2DB5C0EE" w14:textId="77777777" w:rsidTr="00845AFE">
        <w:tc>
          <w:tcPr>
            <w:tcW w:w="675" w:type="dxa"/>
          </w:tcPr>
          <w:p w14:paraId="28BB1444" w14:textId="77777777" w:rsidR="00CF1C29" w:rsidRDefault="00CF1C29" w:rsidP="00382B33">
            <w:pPr>
              <w:spacing w:before="240" w:after="240"/>
              <w:rPr>
                <w:sz w:val="22"/>
              </w:rPr>
            </w:pPr>
            <w:r>
              <w:rPr>
                <w:sz w:val="22"/>
              </w:rPr>
              <w:t>Q2</w:t>
            </w:r>
          </w:p>
        </w:tc>
        <w:tc>
          <w:tcPr>
            <w:tcW w:w="7088" w:type="dxa"/>
          </w:tcPr>
          <w:p w14:paraId="2C054660" w14:textId="77777777" w:rsidR="00CF1C29" w:rsidRDefault="00CF1C29" w:rsidP="00382B33">
            <w:pPr>
              <w:spacing w:before="240" w:after="240"/>
              <w:rPr>
                <w:sz w:val="22"/>
              </w:rPr>
            </w:pPr>
            <w:r>
              <w:rPr>
                <w:sz w:val="22"/>
              </w:rPr>
              <w:t>Is there additional guidance that could be published alongside the statement that would help you in carrying out your role?</w:t>
            </w:r>
          </w:p>
        </w:tc>
        <w:tc>
          <w:tcPr>
            <w:tcW w:w="1479" w:type="dxa"/>
          </w:tcPr>
          <w:p w14:paraId="6169AA43" w14:textId="77777777" w:rsidR="00CF1C29" w:rsidRDefault="00CF1C29" w:rsidP="00382B33">
            <w:pPr>
              <w:spacing w:before="240" w:after="240"/>
              <w:jc w:val="center"/>
              <w:rPr>
                <w:sz w:val="22"/>
              </w:rPr>
            </w:pPr>
            <w:r>
              <w:rPr>
                <w:sz w:val="22"/>
              </w:rPr>
              <w:t>YES/NO</w:t>
            </w:r>
          </w:p>
        </w:tc>
      </w:tr>
      <w:tr w:rsidR="00382B33" w14:paraId="5DE342E2" w14:textId="77777777" w:rsidTr="00845AFE">
        <w:tc>
          <w:tcPr>
            <w:tcW w:w="675" w:type="dxa"/>
            <w:vMerge w:val="restart"/>
          </w:tcPr>
          <w:p w14:paraId="30B73637" w14:textId="77777777" w:rsidR="00382B33" w:rsidRDefault="00382B33" w:rsidP="00382B33">
            <w:pPr>
              <w:spacing w:before="240" w:after="240"/>
              <w:rPr>
                <w:sz w:val="22"/>
              </w:rPr>
            </w:pPr>
            <w:r>
              <w:rPr>
                <w:sz w:val="22"/>
              </w:rPr>
              <w:t>Q2a</w:t>
            </w:r>
          </w:p>
        </w:tc>
        <w:tc>
          <w:tcPr>
            <w:tcW w:w="8567" w:type="dxa"/>
            <w:gridSpan w:val="2"/>
          </w:tcPr>
          <w:p w14:paraId="7FA7A7F4" w14:textId="77777777" w:rsidR="00382B33" w:rsidRDefault="00382B33" w:rsidP="00382B33">
            <w:pPr>
              <w:spacing w:before="240" w:after="240"/>
              <w:rPr>
                <w:sz w:val="22"/>
              </w:rPr>
            </w:pPr>
            <w:r>
              <w:rPr>
                <w:sz w:val="22"/>
              </w:rPr>
              <w:t>If yes, what would like to see guidance on and what form should that guidance take?</w:t>
            </w:r>
          </w:p>
        </w:tc>
      </w:tr>
      <w:tr w:rsidR="00382B33" w14:paraId="49B203C5" w14:textId="77777777" w:rsidTr="00382B33">
        <w:trPr>
          <w:trHeight w:val="1134"/>
        </w:trPr>
        <w:tc>
          <w:tcPr>
            <w:tcW w:w="675" w:type="dxa"/>
            <w:vMerge/>
          </w:tcPr>
          <w:p w14:paraId="7289D30E" w14:textId="77777777" w:rsidR="00382B33" w:rsidRDefault="00382B33" w:rsidP="00382B33">
            <w:pPr>
              <w:spacing w:before="240" w:after="240"/>
              <w:rPr>
                <w:sz w:val="22"/>
              </w:rPr>
            </w:pPr>
          </w:p>
        </w:tc>
        <w:tc>
          <w:tcPr>
            <w:tcW w:w="8567" w:type="dxa"/>
            <w:gridSpan w:val="2"/>
          </w:tcPr>
          <w:p w14:paraId="2C72C310" w14:textId="18A2C365" w:rsidR="00382B33" w:rsidRDefault="009035AF" w:rsidP="00382B33">
            <w:pPr>
              <w:spacing w:before="240" w:after="240"/>
              <w:jc w:val="center"/>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tc>
      </w:tr>
      <w:tr w:rsidR="00FC636F" w14:paraId="4637B7BF" w14:textId="77777777" w:rsidTr="00037222">
        <w:tc>
          <w:tcPr>
            <w:tcW w:w="675" w:type="dxa"/>
          </w:tcPr>
          <w:p w14:paraId="53D45BC5" w14:textId="61C7DA93" w:rsidR="00FC636F" w:rsidRDefault="00FC636F" w:rsidP="00037222">
            <w:pPr>
              <w:spacing w:before="240" w:after="240"/>
              <w:rPr>
                <w:sz w:val="22"/>
              </w:rPr>
            </w:pPr>
            <w:r>
              <w:rPr>
                <w:sz w:val="22"/>
              </w:rPr>
              <w:t>Q3</w:t>
            </w:r>
          </w:p>
        </w:tc>
        <w:tc>
          <w:tcPr>
            <w:tcW w:w="7088" w:type="dxa"/>
          </w:tcPr>
          <w:p w14:paraId="14D16977" w14:textId="28690157" w:rsidR="00FC636F" w:rsidRDefault="00FC636F" w:rsidP="00037222">
            <w:pPr>
              <w:spacing w:before="240" w:after="240"/>
              <w:rPr>
                <w:sz w:val="22"/>
              </w:rPr>
            </w:pPr>
            <w:r>
              <w:rPr>
                <w:sz w:val="22"/>
              </w:rPr>
              <w:t xml:space="preserve">Do you think the Statement should be extended to cover the </w:t>
            </w:r>
            <w:r w:rsidR="008F2D9D">
              <w:rPr>
                <w:sz w:val="22"/>
              </w:rPr>
              <w:t>deputy CFO, given the specific status of a deputy s.151 officer in local government?</w:t>
            </w:r>
          </w:p>
        </w:tc>
        <w:tc>
          <w:tcPr>
            <w:tcW w:w="1479" w:type="dxa"/>
          </w:tcPr>
          <w:p w14:paraId="40C7A5FD" w14:textId="77777777" w:rsidR="00FC636F" w:rsidRDefault="00FC636F" w:rsidP="00037222">
            <w:pPr>
              <w:spacing w:before="240" w:after="240"/>
              <w:jc w:val="center"/>
              <w:rPr>
                <w:sz w:val="22"/>
              </w:rPr>
            </w:pPr>
            <w:r>
              <w:rPr>
                <w:sz w:val="22"/>
              </w:rPr>
              <w:t>YES/NO</w:t>
            </w:r>
          </w:p>
        </w:tc>
      </w:tr>
      <w:tr w:rsidR="00FC636F" w14:paraId="38A64B76" w14:textId="77777777" w:rsidTr="00037222">
        <w:tc>
          <w:tcPr>
            <w:tcW w:w="675" w:type="dxa"/>
            <w:vMerge w:val="restart"/>
          </w:tcPr>
          <w:p w14:paraId="6290F63F" w14:textId="1200A0FA" w:rsidR="00FC636F" w:rsidRDefault="00FC636F" w:rsidP="00037222">
            <w:pPr>
              <w:spacing w:before="240" w:after="240"/>
              <w:rPr>
                <w:sz w:val="22"/>
              </w:rPr>
            </w:pPr>
            <w:r>
              <w:rPr>
                <w:sz w:val="22"/>
              </w:rPr>
              <w:t>Q3a</w:t>
            </w:r>
          </w:p>
        </w:tc>
        <w:tc>
          <w:tcPr>
            <w:tcW w:w="8567" w:type="dxa"/>
            <w:gridSpan w:val="2"/>
          </w:tcPr>
          <w:p w14:paraId="6E43C33F" w14:textId="7D31F35A" w:rsidR="00FC636F" w:rsidRDefault="008F2D9D" w:rsidP="00037222">
            <w:pPr>
              <w:spacing w:before="240" w:after="240"/>
              <w:rPr>
                <w:sz w:val="22"/>
              </w:rPr>
            </w:pPr>
            <w:r>
              <w:rPr>
                <w:sz w:val="22"/>
              </w:rPr>
              <w:t>Please give some background to your answer above.</w:t>
            </w:r>
          </w:p>
        </w:tc>
      </w:tr>
      <w:tr w:rsidR="00FC636F" w14:paraId="6D1DB52C" w14:textId="77777777" w:rsidTr="00037222">
        <w:trPr>
          <w:trHeight w:val="1134"/>
        </w:trPr>
        <w:tc>
          <w:tcPr>
            <w:tcW w:w="675" w:type="dxa"/>
            <w:vMerge/>
          </w:tcPr>
          <w:p w14:paraId="5EA9C635" w14:textId="77777777" w:rsidR="00FC636F" w:rsidRDefault="00FC636F" w:rsidP="00037222">
            <w:pPr>
              <w:spacing w:before="240" w:after="240"/>
              <w:rPr>
                <w:sz w:val="22"/>
              </w:rPr>
            </w:pPr>
          </w:p>
        </w:tc>
        <w:tc>
          <w:tcPr>
            <w:tcW w:w="8567" w:type="dxa"/>
            <w:gridSpan w:val="2"/>
          </w:tcPr>
          <w:p w14:paraId="3225BF03" w14:textId="77777777" w:rsidR="00FC636F" w:rsidRDefault="00FC636F" w:rsidP="00037222">
            <w:pPr>
              <w:spacing w:before="240" w:after="240"/>
              <w:rPr>
                <w:sz w:val="22"/>
              </w:rPr>
            </w:pPr>
          </w:p>
        </w:tc>
      </w:tr>
    </w:tbl>
    <w:p w14:paraId="4D4776EE" w14:textId="77777777" w:rsidR="000D5C55" w:rsidRPr="00E10BB9" w:rsidRDefault="00CF1C29" w:rsidP="00382B33">
      <w:pPr>
        <w:spacing w:before="240" w:after="240" w:line="240" w:lineRule="auto"/>
        <w:rPr>
          <w:b/>
        </w:rPr>
      </w:pPr>
      <w:r>
        <w:rPr>
          <w:b/>
        </w:rPr>
        <w:t>Alternative Forms of Service Delivery</w:t>
      </w:r>
    </w:p>
    <w:tbl>
      <w:tblPr>
        <w:tblStyle w:val="TableGrid"/>
        <w:tblW w:w="0" w:type="auto"/>
        <w:tblLook w:val="04A0" w:firstRow="1" w:lastRow="0" w:firstColumn="1" w:lastColumn="0" w:noHBand="0" w:noVBand="1"/>
      </w:tblPr>
      <w:tblGrid>
        <w:gridCol w:w="675"/>
        <w:gridCol w:w="7088"/>
        <w:gridCol w:w="1479"/>
      </w:tblGrid>
      <w:tr w:rsidR="00E10BB9" w14:paraId="67B5B52F" w14:textId="77777777" w:rsidTr="00E10BB9">
        <w:tc>
          <w:tcPr>
            <w:tcW w:w="675" w:type="dxa"/>
          </w:tcPr>
          <w:p w14:paraId="49AA648C" w14:textId="72A41AFD" w:rsidR="00E10BB9" w:rsidRDefault="00E10BB9" w:rsidP="00382B33">
            <w:pPr>
              <w:spacing w:before="240" w:after="240"/>
              <w:rPr>
                <w:sz w:val="22"/>
              </w:rPr>
            </w:pPr>
            <w:r>
              <w:rPr>
                <w:sz w:val="22"/>
              </w:rPr>
              <w:t>Q</w:t>
            </w:r>
            <w:r w:rsidR="00137463">
              <w:rPr>
                <w:sz w:val="22"/>
              </w:rPr>
              <w:t>4</w:t>
            </w:r>
          </w:p>
        </w:tc>
        <w:tc>
          <w:tcPr>
            <w:tcW w:w="7088" w:type="dxa"/>
          </w:tcPr>
          <w:p w14:paraId="28E031C4" w14:textId="77777777" w:rsidR="00E10BB9" w:rsidRDefault="00E10BB9" w:rsidP="00382B33">
            <w:pPr>
              <w:spacing w:before="240" w:after="240"/>
              <w:rPr>
                <w:sz w:val="22"/>
              </w:rPr>
            </w:pPr>
            <w:r>
              <w:rPr>
                <w:sz w:val="22"/>
              </w:rPr>
              <w:t xml:space="preserve">Do you agree that the current Statement should be updated to </w:t>
            </w:r>
            <w:r w:rsidR="00CF1C29">
              <w:rPr>
                <w:sz w:val="22"/>
              </w:rPr>
              <w:t>deal more explicitly with the CFOs responsibilities in relation to partnerships and other external service delivery vehicles?</w:t>
            </w:r>
          </w:p>
        </w:tc>
        <w:tc>
          <w:tcPr>
            <w:tcW w:w="1479" w:type="dxa"/>
          </w:tcPr>
          <w:p w14:paraId="3BE1FD0D" w14:textId="77777777" w:rsidR="00E10BB9" w:rsidRDefault="00E10BB9" w:rsidP="00382B33">
            <w:pPr>
              <w:spacing w:before="240" w:after="240"/>
              <w:jc w:val="center"/>
              <w:rPr>
                <w:sz w:val="22"/>
              </w:rPr>
            </w:pPr>
            <w:r>
              <w:rPr>
                <w:sz w:val="22"/>
              </w:rPr>
              <w:t>YES/NO</w:t>
            </w:r>
          </w:p>
        </w:tc>
      </w:tr>
      <w:tr w:rsidR="00382B33" w14:paraId="27C4B667" w14:textId="77777777" w:rsidTr="000D5C55">
        <w:tc>
          <w:tcPr>
            <w:tcW w:w="675" w:type="dxa"/>
            <w:vMerge w:val="restart"/>
          </w:tcPr>
          <w:p w14:paraId="40F4C7A2" w14:textId="0DD4AC8C" w:rsidR="00382B33" w:rsidRDefault="00382B33" w:rsidP="00382B33">
            <w:pPr>
              <w:spacing w:before="240" w:after="240"/>
              <w:rPr>
                <w:sz w:val="22"/>
              </w:rPr>
            </w:pPr>
            <w:r>
              <w:rPr>
                <w:sz w:val="22"/>
              </w:rPr>
              <w:lastRenderedPageBreak/>
              <w:t>Q</w:t>
            </w:r>
            <w:r w:rsidR="00137463">
              <w:rPr>
                <w:sz w:val="22"/>
              </w:rPr>
              <w:t>4a</w:t>
            </w:r>
          </w:p>
        </w:tc>
        <w:tc>
          <w:tcPr>
            <w:tcW w:w="8567" w:type="dxa"/>
            <w:gridSpan w:val="2"/>
          </w:tcPr>
          <w:p w14:paraId="099B597D" w14:textId="77777777" w:rsidR="00382B33" w:rsidRDefault="00382B33" w:rsidP="00382B33">
            <w:pPr>
              <w:spacing w:before="240" w:after="240"/>
              <w:rPr>
                <w:sz w:val="22"/>
              </w:rPr>
            </w:pPr>
            <w:r>
              <w:rPr>
                <w:sz w:val="22"/>
              </w:rPr>
              <w:t xml:space="preserve">If yes, which areas do you think the Statement should deal with? </w:t>
            </w:r>
          </w:p>
        </w:tc>
      </w:tr>
      <w:tr w:rsidR="00382B33" w14:paraId="1C7F028A" w14:textId="77777777" w:rsidTr="00382B33">
        <w:trPr>
          <w:trHeight w:val="1134"/>
        </w:trPr>
        <w:tc>
          <w:tcPr>
            <w:tcW w:w="675" w:type="dxa"/>
            <w:vMerge/>
          </w:tcPr>
          <w:p w14:paraId="4096446A" w14:textId="77777777" w:rsidR="00382B33" w:rsidRDefault="00382B33" w:rsidP="00382B33">
            <w:pPr>
              <w:spacing w:before="240" w:after="240"/>
              <w:rPr>
                <w:sz w:val="22"/>
              </w:rPr>
            </w:pPr>
          </w:p>
        </w:tc>
        <w:tc>
          <w:tcPr>
            <w:tcW w:w="8567" w:type="dxa"/>
            <w:gridSpan w:val="2"/>
          </w:tcPr>
          <w:p w14:paraId="5FCB7CC9" w14:textId="77777777" w:rsidR="00382B33" w:rsidRDefault="00382B33" w:rsidP="00382B33">
            <w:pPr>
              <w:spacing w:before="240" w:after="240"/>
              <w:jc w:val="center"/>
              <w:rPr>
                <w:sz w:val="22"/>
              </w:rPr>
            </w:pPr>
          </w:p>
        </w:tc>
      </w:tr>
      <w:tr w:rsidR="00382B33" w14:paraId="0B8A7D9D" w14:textId="77777777" w:rsidTr="00845AFE">
        <w:tc>
          <w:tcPr>
            <w:tcW w:w="675" w:type="dxa"/>
            <w:vMerge w:val="restart"/>
          </w:tcPr>
          <w:p w14:paraId="4F91219A" w14:textId="298E3200" w:rsidR="00382B33" w:rsidRDefault="00382B33" w:rsidP="00382B33">
            <w:pPr>
              <w:spacing w:before="240" w:after="240"/>
              <w:rPr>
                <w:sz w:val="22"/>
              </w:rPr>
            </w:pPr>
            <w:r>
              <w:rPr>
                <w:sz w:val="22"/>
              </w:rPr>
              <w:t>Q</w:t>
            </w:r>
            <w:r w:rsidR="00137463">
              <w:rPr>
                <w:sz w:val="22"/>
              </w:rPr>
              <w:t>5</w:t>
            </w:r>
          </w:p>
        </w:tc>
        <w:tc>
          <w:tcPr>
            <w:tcW w:w="8567" w:type="dxa"/>
            <w:gridSpan w:val="2"/>
          </w:tcPr>
          <w:p w14:paraId="0DC2F700" w14:textId="77777777" w:rsidR="00382B33" w:rsidRDefault="00382B33" w:rsidP="00845AFE">
            <w:pPr>
              <w:spacing w:before="240" w:after="240"/>
              <w:rPr>
                <w:sz w:val="22"/>
              </w:rPr>
            </w:pPr>
            <w:r>
              <w:rPr>
                <w:sz w:val="22"/>
              </w:rPr>
              <w:t>What do you believe the CFO’s responsibilities should be in respect of alternative forms of service delivery?</w:t>
            </w:r>
          </w:p>
        </w:tc>
      </w:tr>
      <w:tr w:rsidR="00382B33" w14:paraId="16F5FCF2" w14:textId="77777777" w:rsidTr="00382B33">
        <w:trPr>
          <w:trHeight w:val="1134"/>
        </w:trPr>
        <w:tc>
          <w:tcPr>
            <w:tcW w:w="675" w:type="dxa"/>
            <w:vMerge/>
          </w:tcPr>
          <w:p w14:paraId="5B01B5DE" w14:textId="77777777" w:rsidR="00382B33" w:rsidRDefault="00382B33" w:rsidP="00845AFE">
            <w:pPr>
              <w:spacing w:before="240" w:after="240"/>
              <w:rPr>
                <w:sz w:val="22"/>
              </w:rPr>
            </w:pPr>
          </w:p>
        </w:tc>
        <w:tc>
          <w:tcPr>
            <w:tcW w:w="8567" w:type="dxa"/>
            <w:gridSpan w:val="2"/>
          </w:tcPr>
          <w:p w14:paraId="6BAAEA93" w14:textId="77777777" w:rsidR="00382B33" w:rsidRDefault="00382B33" w:rsidP="00845AFE">
            <w:pPr>
              <w:spacing w:before="240" w:after="240"/>
              <w:rPr>
                <w:sz w:val="22"/>
              </w:rPr>
            </w:pPr>
          </w:p>
        </w:tc>
      </w:tr>
      <w:tr w:rsidR="00382B33" w14:paraId="5E69654A" w14:textId="77777777" w:rsidTr="00845AFE">
        <w:tc>
          <w:tcPr>
            <w:tcW w:w="675" w:type="dxa"/>
            <w:vMerge w:val="restart"/>
          </w:tcPr>
          <w:p w14:paraId="75F586FC" w14:textId="4CB83D11" w:rsidR="00382B33" w:rsidRDefault="00137463" w:rsidP="00845AFE">
            <w:pPr>
              <w:spacing w:before="240" w:after="240"/>
              <w:rPr>
                <w:sz w:val="22"/>
              </w:rPr>
            </w:pPr>
            <w:r>
              <w:rPr>
                <w:sz w:val="22"/>
              </w:rPr>
              <w:t>Q6</w:t>
            </w:r>
          </w:p>
        </w:tc>
        <w:tc>
          <w:tcPr>
            <w:tcW w:w="8567" w:type="dxa"/>
            <w:gridSpan w:val="2"/>
          </w:tcPr>
          <w:p w14:paraId="67485ECA" w14:textId="77777777" w:rsidR="00382B33" w:rsidRDefault="00382B33" w:rsidP="00845AFE">
            <w:pPr>
              <w:spacing w:before="240" w:after="240"/>
              <w:rPr>
                <w:sz w:val="22"/>
              </w:rPr>
            </w:pPr>
            <w:r>
              <w:rPr>
                <w:sz w:val="22"/>
              </w:rPr>
              <w:t>What are the key methods currently used for ensuring probity for public money within alternative forms of service delivery, e.g. open book accounting, rights of audit access, performance monitoring regimes, market testing?</w:t>
            </w:r>
          </w:p>
        </w:tc>
      </w:tr>
      <w:tr w:rsidR="00382B33" w14:paraId="29E13480" w14:textId="77777777" w:rsidTr="00382B33">
        <w:trPr>
          <w:trHeight w:val="1134"/>
        </w:trPr>
        <w:tc>
          <w:tcPr>
            <w:tcW w:w="675" w:type="dxa"/>
            <w:vMerge/>
          </w:tcPr>
          <w:p w14:paraId="0C5FB608" w14:textId="77777777" w:rsidR="00382B33" w:rsidRDefault="00382B33" w:rsidP="00845AFE">
            <w:pPr>
              <w:spacing w:before="240" w:after="240"/>
              <w:rPr>
                <w:sz w:val="22"/>
              </w:rPr>
            </w:pPr>
          </w:p>
        </w:tc>
        <w:tc>
          <w:tcPr>
            <w:tcW w:w="8567" w:type="dxa"/>
            <w:gridSpan w:val="2"/>
          </w:tcPr>
          <w:p w14:paraId="4ED704D5" w14:textId="77777777" w:rsidR="00382B33" w:rsidRDefault="00382B33" w:rsidP="00845AFE">
            <w:pPr>
              <w:spacing w:before="240" w:after="240"/>
              <w:rPr>
                <w:sz w:val="22"/>
              </w:rPr>
            </w:pPr>
          </w:p>
        </w:tc>
      </w:tr>
      <w:tr w:rsidR="00382B33" w14:paraId="15A75CEC" w14:textId="77777777" w:rsidTr="00845AFE">
        <w:tc>
          <w:tcPr>
            <w:tcW w:w="675" w:type="dxa"/>
            <w:vMerge w:val="restart"/>
          </w:tcPr>
          <w:p w14:paraId="3FA7D32A" w14:textId="7DB3DB89" w:rsidR="00382B33" w:rsidRDefault="00382B33" w:rsidP="00845AFE">
            <w:pPr>
              <w:spacing w:before="240" w:after="240"/>
              <w:rPr>
                <w:sz w:val="22"/>
              </w:rPr>
            </w:pPr>
            <w:r>
              <w:rPr>
                <w:sz w:val="22"/>
              </w:rPr>
              <w:t>Q</w:t>
            </w:r>
            <w:r w:rsidR="00137463">
              <w:rPr>
                <w:sz w:val="22"/>
              </w:rPr>
              <w:t>7</w:t>
            </w:r>
          </w:p>
        </w:tc>
        <w:tc>
          <w:tcPr>
            <w:tcW w:w="8567" w:type="dxa"/>
            <w:gridSpan w:val="2"/>
          </w:tcPr>
          <w:p w14:paraId="245CC2BC" w14:textId="77777777" w:rsidR="00382B33" w:rsidRDefault="00382B33" w:rsidP="00845AFE">
            <w:pPr>
              <w:spacing w:before="240" w:after="240"/>
              <w:rPr>
                <w:sz w:val="22"/>
              </w:rPr>
            </w:pPr>
            <w:r>
              <w:rPr>
                <w:sz w:val="22"/>
              </w:rPr>
              <w:t>What are the barriers to ensuring probity?</w:t>
            </w:r>
          </w:p>
        </w:tc>
      </w:tr>
      <w:tr w:rsidR="00382B33" w14:paraId="514BD4FC" w14:textId="77777777" w:rsidTr="00382B33">
        <w:trPr>
          <w:trHeight w:val="1134"/>
        </w:trPr>
        <w:tc>
          <w:tcPr>
            <w:tcW w:w="675" w:type="dxa"/>
            <w:vMerge/>
          </w:tcPr>
          <w:p w14:paraId="50A48D2B" w14:textId="77777777" w:rsidR="00382B33" w:rsidRDefault="00382B33" w:rsidP="00845AFE">
            <w:pPr>
              <w:spacing w:before="240" w:after="240"/>
              <w:rPr>
                <w:sz w:val="22"/>
              </w:rPr>
            </w:pPr>
          </w:p>
        </w:tc>
        <w:tc>
          <w:tcPr>
            <w:tcW w:w="8567" w:type="dxa"/>
            <w:gridSpan w:val="2"/>
          </w:tcPr>
          <w:p w14:paraId="53C896BE" w14:textId="77777777" w:rsidR="00382B33" w:rsidRDefault="00382B33" w:rsidP="00845AFE">
            <w:pPr>
              <w:spacing w:before="240" w:after="240"/>
              <w:rPr>
                <w:sz w:val="22"/>
              </w:rPr>
            </w:pPr>
          </w:p>
        </w:tc>
      </w:tr>
      <w:tr w:rsidR="00E96126" w14:paraId="5F613311" w14:textId="77777777" w:rsidTr="00845AFE">
        <w:tc>
          <w:tcPr>
            <w:tcW w:w="675" w:type="dxa"/>
            <w:vMerge w:val="restart"/>
          </w:tcPr>
          <w:p w14:paraId="653698D8" w14:textId="4F646ACF" w:rsidR="00E96126" w:rsidRDefault="00E96126" w:rsidP="00845AFE">
            <w:pPr>
              <w:spacing w:before="240" w:after="240"/>
              <w:rPr>
                <w:sz w:val="22"/>
              </w:rPr>
            </w:pPr>
            <w:r>
              <w:rPr>
                <w:sz w:val="22"/>
              </w:rPr>
              <w:t>Q</w:t>
            </w:r>
            <w:r w:rsidR="00137463">
              <w:rPr>
                <w:sz w:val="22"/>
              </w:rPr>
              <w:t>8</w:t>
            </w:r>
          </w:p>
        </w:tc>
        <w:tc>
          <w:tcPr>
            <w:tcW w:w="8567" w:type="dxa"/>
            <w:gridSpan w:val="2"/>
          </w:tcPr>
          <w:p w14:paraId="7A927360" w14:textId="77777777" w:rsidR="00E96126" w:rsidRDefault="00E96126" w:rsidP="00845AFE">
            <w:pPr>
              <w:spacing w:before="240" w:after="240"/>
              <w:rPr>
                <w:sz w:val="22"/>
              </w:rPr>
            </w:pPr>
            <w:r>
              <w:rPr>
                <w:sz w:val="22"/>
              </w:rPr>
              <w:t>Where partnership and outsourcing arrangements are used to deliver finance related functions does this bring additional challenges for the CFO and what are these?</w:t>
            </w:r>
          </w:p>
        </w:tc>
      </w:tr>
      <w:tr w:rsidR="00E96126" w14:paraId="347AB037" w14:textId="77777777" w:rsidTr="00845AFE">
        <w:trPr>
          <w:trHeight w:val="1134"/>
        </w:trPr>
        <w:tc>
          <w:tcPr>
            <w:tcW w:w="675" w:type="dxa"/>
            <w:vMerge/>
          </w:tcPr>
          <w:p w14:paraId="2EF1037F" w14:textId="77777777" w:rsidR="00E96126" w:rsidRDefault="00E96126" w:rsidP="00845AFE">
            <w:pPr>
              <w:spacing w:before="240" w:after="240"/>
              <w:rPr>
                <w:sz w:val="22"/>
              </w:rPr>
            </w:pPr>
          </w:p>
        </w:tc>
        <w:tc>
          <w:tcPr>
            <w:tcW w:w="8567" w:type="dxa"/>
            <w:gridSpan w:val="2"/>
          </w:tcPr>
          <w:p w14:paraId="6F1FDD53" w14:textId="77777777" w:rsidR="00E96126" w:rsidRDefault="00E96126" w:rsidP="00845AFE">
            <w:pPr>
              <w:spacing w:before="240" w:after="240"/>
              <w:rPr>
                <w:sz w:val="22"/>
              </w:rPr>
            </w:pPr>
          </w:p>
        </w:tc>
      </w:tr>
      <w:tr w:rsidR="00382B33" w14:paraId="234B2388" w14:textId="77777777" w:rsidTr="00563A6D">
        <w:tc>
          <w:tcPr>
            <w:tcW w:w="675" w:type="dxa"/>
            <w:vMerge w:val="restart"/>
          </w:tcPr>
          <w:p w14:paraId="61C6F995" w14:textId="0B14CF9A" w:rsidR="00382B33" w:rsidRDefault="00382B33" w:rsidP="00E96126">
            <w:pPr>
              <w:spacing w:before="240" w:after="240"/>
              <w:rPr>
                <w:sz w:val="22"/>
              </w:rPr>
            </w:pPr>
            <w:r>
              <w:rPr>
                <w:sz w:val="22"/>
              </w:rPr>
              <w:t>Q</w:t>
            </w:r>
            <w:r w:rsidR="00137463">
              <w:rPr>
                <w:sz w:val="22"/>
              </w:rPr>
              <w:t>9</w:t>
            </w:r>
          </w:p>
        </w:tc>
        <w:tc>
          <w:tcPr>
            <w:tcW w:w="8567" w:type="dxa"/>
            <w:gridSpan w:val="2"/>
          </w:tcPr>
          <w:p w14:paraId="2961AD89" w14:textId="77777777" w:rsidR="00382B33" w:rsidRDefault="00E96126" w:rsidP="00382B33">
            <w:pPr>
              <w:spacing w:before="240" w:after="240"/>
              <w:rPr>
                <w:sz w:val="22"/>
              </w:rPr>
            </w:pPr>
            <w:r>
              <w:rPr>
                <w:sz w:val="22"/>
              </w:rPr>
              <w:t xml:space="preserve">How </w:t>
            </w:r>
            <w:proofErr w:type="gramStart"/>
            <w:r>
              <w:rPr>
                <w:sz w:val="22"/>
              </w:rPr>
              <w:t>are these contracts</w:t>
            </w:r>
            <w:proofErr w:type="gramEnd"/>
            <w:r>
              <w:rPr>
                <w:sz w:val="22"/>
              </w:rPr>
              <w:t xml:space="preserve"> currently managed to ensure that CFOs receive the information they need to make informed judgements?</w:t>
            </w:r>
          </w:p>
        </w:tc>
      </w:tr>
      <w:tr w:rsidR="00382B33" w14:paraId="7332C231" w14:textId="77777777" w:rsidTr="00382B33">
        <w:trPr>
          <w:trHeight w:val="1134"/>
        </w:trPr>
        <w:tc>
          <w:tcPr>
            <w:tcW w:w="675" w:type="dxa"/>
            <w:vMerge/>
          </w:tcPr>
          <w:p w14:paraId="149EEC2E" w14:textId="77777777" w:rsidR="00382B33" w:rsidRDefault="00382B33" w:rsidP="00382B33">
            <w:pPr>
              <w:spacing w:before="240" w:after="240"/>
              <w:rPr>
                <w:sz w:val="22"/>
              </w:rPr>
            </w:pPr>
          </w:p>
        </w:tc>
        <w:tc>
          <w:tcPr>
            <w:tcW w:w="8567" w:type="dxa"/>
            <w:gridSpan w:val="2"/>
          </w:tcPr>
          <w:p w14:paraId="2FD75709" w14:textId="77777777" w:rsidR="00382B33" w:rsidRDefault="00382B33" w:rsidP="00382B33">
            <w:pPr>
              <w:spacing w:before="240" w:after="240"/>
              <w:rPr>
                <w:sz w:val="22"/>
              </w:rPr>
            </w:pPr>
          </w:p>
        </w:tc>
      </w:tr>
    </w:tbl>
    <w:p w14:paraId="386CFCD2" w14:textId="77777777" w:rsidR="00137463" w:rsidRDefault="00137463" w:rsidP="00382B33">
      <w:pPr>
        <w:spacing w:before="240" w:after="240" w:line="240" w:lineRule="auto"/>
        <w:rPr>
          <w:b/>
          <w:sz w:val="22"/>
        </w:rPr>
      </w:pPr>
    </w:p>
    <w:p w14:paraId="7D50CE67" w14:textId="77777777" w:rsidR="00E10BB9" w:rsidRDefault="00E96126" w:rsidP="00382B33">
      <w:pPr>
        <w:spacing w:before="240" w:after="240" w:line="240" w:lineRule="auto"/>
        <w:rPr>
          <w:b/>
          <w:sz w:val="22"/>
        </w:rPr>
      </w:pPr>
      <w:r w:rsidRPr="00E96126">
        <w:rPr>
          <w:b/>
          <w:sz w:val="22"/>
        </w:rPr>
        <w:lastRenderedPageBreak/>
        <w:t xml:space="preserve">The Wider Role of </w:t>
      </w:r>
      <w:r>
        <w:rPr>
          <w:b/>
          <w:sz w:val="22"/>
        </w:rPr>
        <w:t>t</w:t>
      </w:r>
      <w:r w:rsidRPr="00E96126">
        <w:rPr>
          <w:b/>
          <w:sz w:val="22"/>
        </w:rPr>
        <w:t>he C</w:t>
      </w:r>
      <w:r>
        <w:rPr>
          <w:b/>
          <w:sz w:val="22"/>
        </w:rPr>
        <w:t xml:space="preserve">hief </w:t>
      </w:r>
      <w:r w:rsidRPr="00E96126">
        <w:rPr>
          <w:b/>
          <w:sz w:val="22"/>
        </w:rPr>
        <w:t>F</w:t>
      </w:r>
      <w:r>
        <w:rPr>
          <w:b/>
          <w:sz w:val="22"/>
        </w:rPr>
        <w:t xml:space="preserve">inancial </w:t>
      </w:r>
      <w:r w:rsidRPr="00E96126">
        <w:rPr>
          <w:b/>
          <w:sz w:val="22"/>
        </w:rPr>
        <w:t>O</w:t>
      </w:r>
      <w:r>
        <w:rPr>
          <w:b/>
          <w:sz w:val="22"/>
        </w:rPr>
        <w:t xml:space="preserve">fficer </w:t>
      </w:r>
    </w:p>
    <w:tbl>
      <w:tblPr>
        <w:tblStyle w:val="TableGrid"/>
        <w:tblW w:w="0" w:type="auto"/>
        <w:tblLook w:val="04A0" w:firstRow="1" w:lastRow="0" w:firstColumn="1" w:lastColumn="0" w:noHBand="0" w:noVBand="1"/>
      </w:tblPr>
      <w:tblGrid>
        <w:gridCol w:w="802"/>
        <w:gridCol w:w="6970"/>
        <w:gridCol w:w="1470"/>
      </w:tblGrid>
      <w:tr w:rsidR="00992B41" w14:paraId="7FD8810B" w14:textId="77777777" w:rsidTr="008C56CB">
        <w:tc>
          <w:tcPr>
            <w:tcW w:w="802" w:type="dxa"/>
          </w:tcPr>
          <w:p w14:paraId="200B4852" w14:textId="46A6219B" w:rsidR="00992B41" w:rsidRDefault="00992B41" w:rsidP="00992B41">
            <w:pPr>
              <w:spacing w:before="240" w:after="240"/>
              <w:rPr>
                <w:sz w:val="22"/>
              </w:rPr>
            </w:pPr>
            <w:r>
              <w:rPr>
                <w:sz w:val="22"/>
              </w:rPr>
              <w:t>Q</w:t>
            </w:r>
            <w:r w:rsidR="007F01A9">
              <w:rPr>
                <w:sz w:val="22"/>
              </w:rPr>
              <w:t>10</w:t>
            </w:r>
          </w:p>
        </w:tc>
        <w:tc>
          <w:tcPr>
            <w:tcW w:w="6970" w:type="dxa"/>
          </w:tcPr>
          <w:p w14:paraId="6BE231DA" w14:textId="77777777" w:rsidR="00992B41" w:rsidRDefault="00992B41" w:rsidP="00992B41">
            <w:pPr>
              <w:spacing w:before="240" w:after="240"/>
              <w:rPr>
                <w:sz w:val="22"/>
              </w:rPr>
            </w:pPr>
            <w:r>
              <w:rPr>
                <w:sz w:val="22"/>
              </w:rPr>
              <w:t>Do you agree that the current Statement should be updated to deal more explicitly with the CFOs wider responsibilities?</w:t>
            </w:r>
          </w:p>
        </w:tc>
        <w:tc>
          <w:tcPr>
            <w:tcW w:w="1470" w:type="dxa"/>
          </w:tcPr>
          <w:p w14:paraId="5F9F5DA6" w14:textId="77777777" w:rsidR="00992B41" w:rsidRDefault="00992B41" w:rsidP="00845AFE">
            <w:pPr>
              <w:spacing w:before="240" w:after="240"/>
              <w:jc w:val="center"/>
              <w:rPr>
                <w:sz w:val="22"/>
              </w:rPr>
            </w:pPr>
            <w:r>
              <w:rPr>
                <w:sz w:val="22"/>
              </w:rPr>
              <w:t>YES/NO</w:t>
            </w:r>
          </w:p>
        </w:tc>
      </w:tr>
      <w:tr w:rsidR="00E96126" w14:paraId="2EF0885B" w14:textId="77777777" w:rsidTr="008C56CB">
        <w:tc>
          <w:tcPr>
            <w:tcW w:w="802" w:type="dxa"/>
          </w:tcPr>
          <w:p w14:paraId="2FDB77BC" w14:textId="406AECF7" w:rsidR="00E96126" w:rsidRDefault="00E96126" w:rsidP="00992B41">
            <w:pPr>
              <w:spacing w:before="240" w:after="240"/>
              <w:rPr>
                <w:sz w:val="22"/>
              </w:rPr>
            </w:pPr>
            <w:r>
              <w:rPr>
                <w:sz w:val="22"/>
              </w:rPr>
              <w:t>Q</w:t>
            </w:r>
            <w:r w:rsidR="007F01A9">
              <w:rPr>
                <w:sz w:val="22"/>
              </w:rPr>
              <w:t>11</w:t>
            </w:r>
          </w:p>
        </w:tc>
        <w:tc>
          <w:tcPr>
            <w:tcW w:w="6970" w:type="dxa"/>
          </w:tcPr>
          <w:p w14:paraId="118D4124" w14:textId="77777777" w:rsidR="00E96126" w:rsidRDefault="00992B41" w:rsidP="00992B41">
            <w:pPr>
              <w:spacing w:before="240" w:after="240"/>
              <w:rPr>
                <w:sz w:val="22"/>
              </w:rPr>
            </w:pPr>
            <w:r>
              <w:rPr>
                <w:sz w:val="22"/>
              </w:rPr>
              <w:t xml:space="preserve">If you are a CFO, do you currently have a wider remit than finance, e.g. property, IT, personnel </w:t>
            </w:r>
            <w:proofErr w:type="spellStart"/>
            <w:r>
              <w:rPr>
                <w:sz w:val="22"/>
              </w:rPr>
              <w:t>etc</w:t>
            </w:r>
            <w:proofErr w:type="spellEnd"/>
            <w:r>
              <w:rPr>
                <w:sz w:val="22"/>
              </w:rPr>
              <w:t>?</w:t>
            </w:r>
          </w:p>
        </w:tc>
        <w:tc>
          <w:tcPr>
            <w:tcW w:w="1470" w:type="dxa"/>
          </w:tcPr>
          <w:p w14:paraId="7308AD62" w14:textId="77777777" w:rsidR="00E96126" w:rsidRDefault="00E96126" w:rsidP="00845AFE">
            <w:pPr>
              <w:spacing w:before="240" w:after="240"/>
              <w:jc w:val="center"/>
              <w:rPr>
                <w:sz w:val="22"/>
              </w:rPr>
            </w:pPr>
            <w:r>
              <w:rPr>
                <w:sz w:val="22"/>
              </w:rPr>
              <w:t>YES/NO</w:t>
            </w:r>
          </w:p>
        </w:tc>
      </w:tr>
      <w:tr w:rsidR="00E96126" w14:paraId="7007604C" w14:textId="77777777" w:rsidTr="008C56CB">
        <w:tc>
          <w:tcPr>
            <w:tcW w:w="802" w:type="dxa"/>
            <w:vMerge w:val="restart"/>
          </w:tcPr>
          <w:p w14:paraId="5CABD95B" w14:textId="118A256D" w:rsidR="00E96126" w:rsidRDefault="007F01A9" w:rsidP="008C56CB">
            <w:pPr>
              <w:spacing w:before="240" w:after="240"/>
              <w:rPr>
                <w:sz w:val="22"/>
              </w:rPr>
            </w:pPr>
            <w:r>
              <w:rPr>
                <w:sz w:val="22"/>
              </w:rPr>
              <w:t>Q11a</w:t>
            </w:r>
          </w:p>
        </w:tc>
        <w:tc>
          <w:tcPr>
            <w:tcW w:w="8440" w:type="dxa"/>
            <w:gridSpan w:val="2"/>
          </w:tcPr>
          <w:p w14:paraId="47BE7124" w14:textId="77777777" w:rsidR="00E96126" w:rsidRDefault="008C56CB" w:rsidP="008C56CB">
            <w:pPr>
              <w:spacing w:before="240" w:after="240"/>
              <w:rPr>
                <w:sz w:val="22"/>
              </w:rPr>
            </w:pPr>
            <w:r>
              <w:rPr>
                <w:sz w:val="22"/>
              </w:rPr>
              <w:t>If yes which additional areas do you have responsibility for</w:t>
            </w:r>
            <w:r w:rsidR="00E96126">
              <w:rPr>
                <w:sz w:val="22"/>
              </w:rPr>
              <w:t>?</w:t>
            </w:r>
          </w:p>
        </w:tc>
      </w:tr>
      <w:tr w:rsidR="00E96126" w14:paraId="516D4615" w14:textId="77777777" w:rsidTr="008C56CB">
        <w:trPr>
          <w:trHeight w:val="1134"/>
        </w:trPr>
        <w:tc>
          <w:tcPr>
            <w:tcW w:w="802" w:type="dxa"/>
            <w:vMerge/>
          </w:tcPr>
          <w:p w14:paraId="660624DD" w14:textId="77777777" w:rsidR="00E96126" w:rsidRDefault="00E96126" w:rsidP="00845AFE">
            <w:pPr>
              <w:spacing w:before="240" w:after="240"/>
              <w:rPr>
                <w:sz w:val="22"/>
              </w:rPr>
            </w:pPr>
          </w:p>
        </w:tc>
        <w:tc>
          <w:tcPr>
            <w:tcW w:w="8440" w:type="dxa"/>
            <w:gridSpan w:val="2"/>
          </w:tcPr>
          <w:p w14:paraId="14C129CC" w14:textId="77777777" w:rsidR="00E96126" w:rsidRDefault="00E96126" w:rsidP="00845AFE">
            <w:pPr>
              <w:spacing w:before="240" w:after="240"/>
              <w:rPr>
                <w:sz w:val="22"/>
              </w:rPr>
            </w:pPr>
          </w:p>
        </w:tc>
      </w:tr>
      <w:tr w:rsidR="008C56CB" w14:paraId="129D3AF3" w14:textId="77777777" w:rsidTr="00845AFE">
        <w:tc>
          <w:tcPr>
            <w:tcW w:w="802" w:type="dxa"/>
            <w:vMerge w:val="restart"/>
          </w:tcPr>
          <w:p w14:paraId="68267EB3" w14:textId="255A72CE" w:rsidR="008C56CB" w:rsidRDefault="008C56CB" w:rsidP="00845AFE">
            <w:pPr>
              <w:spacing w:before="240" w:after="240"/>
              <w:rPr>
                <w:sz w:val="22"/>
              </w:rPr>
            </w:pPr>
            <w:r>
              <w:rPr>
                <w:sz w:val="22"/>
              </w:rPr>
              <w:t>Q1</w:t>
            </w:r>
            <w:r w:rsidR="007F01A9">
              <w:rPr>
                <w:sz w:val="22"/>
              </w:rPr>
              <w:t>2</w:t>
            </w:r>
          </w:p>
        </w:tc>
        <w:tc>
          <w:tcPr>
            <w:tcW w:w="8440" w:type="dxa"/>
            <w:gridSpan w:val="2"/>
          </w:tcPr>
          <w:p w14:paraId="27D78886" w14:textId="77777777" w:rsidR="008C56CB" w:rsidRDefault="008C56CB" w:rsidP="00845AFE">
            <w:pPr>
              <w:spacing w:before="240" w:after="240"/>
              <w:rPr>
                <w:sz w:val="22"/>
              </w:rPr>
            </w:pPr>
            <w:r>
              <w:rPr>
                <w:sz w:val="22"/>
              </w:rPr>
              <w:t>What, if any, additional guidance is needed on the wider role of the CFO?</w:t>
            </w:r>
          </w:p>
        </w:tc>
      </w:tr>
      <w:tr w:rsidR="008C56CB" w14:paraId="6CC38994" w14:textId="77777777" w:rsidTr="00845AFE">
        <w:trPr>
          <w:trHeight w:val="1134"/>
        </w:trPr>
        <w:tc>
          <w:tcPr>
            <w:tcW w:w="802" w:type="dxa"/>
            <w:vMerge/>
          </w:tcPr>
          <w:p w14:paraId="34EB2D95" w14:textId="77777777" w:rsidR="008C56CB" w:rsidRDefault="008C56CB" w:rsidP="00845AFE">
            <w:pPr>
              <w:spacing w:before="240" w:after="240"/>
              <w:rPr>
                <w:sz w:val="22"/>
              </w:rPr>
            </w:pPr>
          </w:p>
        </w:tc>
        <w:tc>
          <w:tcPr>
            <w:tcW w:w="8440" w:type="dxa"/>
            <w:gridSpan w:val="2"/>
          </w:tcPr>
          <w:p w14:paraId="3D407489" w14:textId="77777777" w:rsidR="008C56CB" w:rsidRDefault="008C56CB" w:rsidP="00845AFE">
            <w:pPr>
              <w:spacing w:before="240" w:after="240"/>
              <w:rPr>
                <w:sz w:val="22"/>
              </w:rPr>
            </w:pPr>
          </w:p>
        </w:tc>
      </w:tr>
      <w:tr w:rsidR="008C56CB" w14:paraId="05C92782" w14:textId="77777777" w:rsidTr="008C56CB">
        <w:tc>
          <w:tcPr>
            <w:tcW w:w="802" w:type="dxa"/>
          </w:tcPr>
          <w:p w14:paraId="2481DC7E" w14:textId="1B758757" w:rsidR="008C56CB" w:rsidRDefault="007F01A9" w:rsidP="008C56CB">
            <w:pPr>
              <w:spacing w:before="240" w:after="240"/>
              <w:rPr>
                <w:sz w:val="22"/>
              </w:rPr>
            </w:pPr>
            <w:r>
              <w:rPr>
                <w:sz w:val="22"/>
              </w:rPr>
              <w:t>Q13</w:t>
            </w:r>
            <w:r w:rsidR="008C56CB">
              <w:rPr>
                <w:sz w:val="22"/>
              </w:rPr>
              <w:t xml:space="preserve"> </w:t>
            </w:r>
          </w:p>
        </w:tc>
        <w:tc>
          <w:tcPr>
            <w:tcW w:w="6970" w:type="dxa"/>
          </w:tcPr>
          <w:p w14:paraId="24F48CA4" w14:textId="77777777" w:rsidR="008C56CB" w:rsidRDefault="008C56CB" w:rsidP="008C56CB">
            <w:pPr>
              <w:spacing w:before="240" w:after="240"/>
              <w:rPr>
                <w:sz w:val="22"/>
              </w:rPr>
            </w:pPr>
            <w:r>
              <w:rPr>
                <w:sz w:val="22"/>
              </w:rPr>
              <w:t>If you are a CFO, do you currently occupy roles in other local authority controlled organisations or joint venture?</w:t>
            </w:r>
          </w:p>
        </w:tc>
        <w:tc>
          <w:tcPr>
            <w:tcW w:w="1470" w:type="dxa"/>
          </w:tcPr>
          <w:p w14:paraId="54C43243" w14:textId="77777777" w:rsidR="008C56CB" w:rsidRDefault="008C56CB" w:rsidP="00845AFE">
            <w:pPr>
              <w:spacing w:before="240" w:after="240"/>
              <w:jc w:val="center"/>
              <w:rPr>
                <w:sz w:val="22"/>
              </w:rPr>
            </w:pPr>
            <w:r>
              <w:rPr>
                <w:sz w:val="22"/>
              </w:rPr>
              <w:t>YES/NO</w:t>
            </w:r>
          </w:p>
        </w:tc>
      </w:tr>
      <w:tr w:rsidR="008C56CB" w14:paraId="38DA5709" w14:textId="77777777" w:rsidTr="008C56CB">
        <w:tc>
          <w:tcPr>
            <w:tcW w:w="802" w:type="dxa"/>
            <w:vMerge w:val="restart"/>
          </w:tcPr>
          <w:p w14:paraId="10FD60AD" w14:textId="51B1A794" w:rsidR="008C56CB" w:rsidRDefault="007F01A9" w:rsidP="008C56CB">
            <w:pPr>
              <w:spacing w:before="240" w:after="240"/>
              <w:rPr>
                <w:sz w:val="22"/>
              </w:rPr>
            </w:pPr>
            <w:r>
              <w:rPr>
                <w:sz w:val="22"/>
              </w:rPr>
              <w:t>Q13</w:t>
            </w:r>
            <w:r w:rsidR="008C56CB">
              <w:rPr>
                <w:sz w:val="22"/>
              </w:rPr>
              <w:t>a</w:t>
            </w:r>
          </w:p>
        </w:tc>
        <w:tc>
          <w:tcPr>
            <w:tcW w:w="8440" w:type="dxa"/>
            <w:gridSpan w:val="2"/>
          </w:tcPr>
          <w:p w14:paraId="63727409" w14:textId="77777777" w:rsidR="008C56CB" w:rsidRDefault="008C56CB" w:rsidP="008C56CB">
            <w:pPr>
              <w:spacing w:before="240" w:after="240"/>
              <w:rPr>
                <w:sz w:val="22"/>
              </w:rPr>
            </w:pPr>
            <w:r>
              <w:rPr>
                <w:sz w:val="22"/>
              </w:rPr>
              <w:t>If yes please indicate the types of role you have and the types of organisation involved?</w:t>
            </w:r>
          </w:p>
        </w:tc>
      </w:tr>
      <w:tr w:rsidR="008C56CB" w14:paraId="1F467EF2" w14:textId="77777777" w:rsidTr="008C56CB">
        <w:trPr>
          <w:trHeight w:val="1134"/>
        </w:trPr>
        <w:tc>
          <w:tcPr>
            <w:tcW w:w="802" w:type="dxa"/>
            <w:vMerge/>
          </w:tcPr>
          <w:p w14:paraId="2B49BEFA" w14:textId="77777777" w:rsidR="008C56CB" w:rsidRDefault="008C56CB" w:rsidP="00845AFE">
            <w:pPr>
              <w:spacing w:before="240" w:after="240"/>
              <w:rPr>
                <w:sz w:val="22"/>
              </w:rPr>
            </w:pPr>
          </w:p>
        </w:tc>
        <w:tc>
          <w:tcPr>
            <w:tcW w:w="8440" w:type="dxa"/>
            <w:gridSpan w:val="2"/>
          </w:tcPr>
          <w:p w14:paraId="473033F8" w14:textId="77777777" w:rsidR="008C56CB" w:rsidRDefault="008C56CB" w:rsidP="00845AFE">
            <w:pPr>
              <w:spacing w:before="240" w:after="240"/>
              <w:rPr>
                <w:sz w:val="22"/>
              </w:rPr>
            </w:pPr>
          </w:p>
        </w:tc>
      </w:tr>
      <w:tr w:rsidR="008C56CB" w14:paraId="366389E7" w14:textId="77777777" w:rsidTr="008C56CB">
        <w:tc>
          <w:tcPr>
            <w:tcW w:w="802" w:type="dxa"/>
            <w:vMerge w:val="restart"/>
          </w:tcPr>
          <w:p w14:paraId="6E80D930" w14:textId="0EE57F09" w:rsidR="008C56CB" w:rsidRDefault="008C56CB" w:rsidP="008C56CB">
            <w:pPr>
              <w:spacing w:before="240" w:after="240"/>
              <w:rPr>
                <w:sz w:val="22"/>
              </w:rPr>
            </w:pPr>
            <w:r>
              <w:rPr>
                <w:sz w:val="22"/>
              </w:rPr>
              <w:t>Q1</w:t>
            </w:r>
            <w:r w:rsidR="007F01A9">
              <w:rPr>
                <w:sz w:val="22"/>
              </w:rPr>
              <w:t>4</w:t>
            </w:r>
          </w:p>
        </w:tc>
        <w:tc>
          <w:tcPr>
            <w:tcW w:w="8440" w:type="dxa"/>
            <w:gridSpan w:val="2"/>
          </w:tcPr>
          <w:p w14:paraId="6018E705" w14:textId="77777777" w:rsidR="008C56CB" w:rsidRDefault="008C56CB" w:rsidP="00845AFE">
            <w:pPr>
              <w:spacing w:before="240" w:after="240"/>
              <w:rPr>
                <w:sz w:val="22"/>
              </w:rPr>
            </w:pPr>
            <w:r>
              <w:rPr>
                <w:sz w:val="22"/>
              </w:rPr>
              <w:t>Are you aware of any potential conflicts of interest that may arise where CFOs occupy roles in other bodies and how it is planned to manage any conflicts that arise?</w:t>
            </w:r>
          </w:p>
        </w:tc>
      </w:tr>
      <w:tr w:rsidR="008C56CB" w14:paraId="43180113" w14:textId="77777777" w:rsidTr="008C56CB">
        <w:trPr>
          <w:trHeight w:val="1134"/>
        </w:trPr>
        <w:tc>
          <w:tcPr>
            <w:tcW w:w="802" w:type="dxa"/>
            <w:vMerge/>
          </w:tcPr>
          <w:p w14:paraId="23AE29A7" w14:textId="77777777" w:rsidR="008C56CB" w:rsidRDefault="008C56CB" w:rsidP="00845AFE">
            <w:pPr>
              <w:spacing w:before="240" w:after="240"/>
              <w:rPr>
                <w:sz w:val="22"/>
              </w:rPr>
            </w:pPr>
          </w:p>
        </w:tc>
        <w:tc>
          <w:tcPr>
            <w:tcW w:w="8440" w:type="dxa"/>
            <w:gridSpan w:val="2"/>
          </w:tcPr>
          <w:p w14:paraId="6B80B120" w14:textId="77777777" w:rsidR="008C56CB" w:rsidRDefault="008C56CB" w:rsidP="00845AFE">
            <w:pPr>
              <w:spacing w:before="240" w:after="240"/>
              <w:rPr>
                <w:sz w:val="22"/>
              </w:rPr>
            </w:pPr>
          </w:p>
        </w:tc>
      </w:tr>
    </w:tbl>
    <w:p w14:paraId="0AEE17D6" w14:textId="77777777" w:rsidR="00E96126" w:rsidRPr="00E96126" w:rsidRDefault="00E96126" w:rsidP="008C56CB">
      <w:pPr>
        <w:spacing w:before="240" w:after="240" w:line="240" w:lineRule="auto"/>
        <w:rPr>
          <w:b/>
          <w:sz w:val="22"/>
        </w:rPr>
      </w:pPr>
    </w:p>
    <w:sectPr w:rsidR="00E96126" w:rsidRPr="00E961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SLol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814"/>
    <w:rsid w:val="000D5C55"/>
    <w:rsid w:val="00137463"/>
    <w:rsid w:val="00290324"/>
    <w:rsid w:val="00355128"/>
    <w:rsid w:val="00382B33"/>
    <w:rsid w:val="003A7820"/>
    <w:rsid w:val="003C536F"/>
    <w:rsid w:val="003F7B8F"/>
    <w:rsid w:val="00405CF3"/>
    <w:rsid w:val="00481F9C"/>
    <w:rsid w:val="00672601"/>
    <w:rsid w:val="007F01A9"/>
    <w:rsid w:val="00852814"/>
    <w:rsid w:val="008C56CB"/>
    <w:rsid w:val="008F2D9D"/>
    <w:rsid w:val="009035AF"/>
    <w:rsid w:val="00992B41"/>
    <w:rsid w:val="00A143B4"/>
    <w:rsid w:val="00B92A76"/>
    <w:rsid w:val="00CF1C29"/>
    <w:rsid w:val="00E10BB9"/>
    <w:rsid w:val="00E96126"/>
    <w:rsid w:val="00FC05CC"/>
    <w:rsid w:val="00FC636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A2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0BB9"/>
    <w:rPr>
      <w:color w:val="0000FF" w:themeColor="hyperlink"/>
      <w:u w:val="single"/>
    </w:rPr>
  </w:style>
  <w:style w:type="table" w:styleId="TableGrid">
    <w:name w:val="Table Grid"/>
    <w:basedOn w:val="TableNormal"/>
    <w:uiPriority w:val="59"/>
    <w:rsid w:val="00E10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0BB9"/>
    <w:rPr>
      <w:color w:val="0000FF" w:themeColor="hyperlink"/>
      <w:u w:val="single"/>
    </w:rPr>
  </w:style>
  <w:style w:type="table" w:styleId="TableGrid">
    <w:name w:val="Table Grid"/>
    <w:basedOn w:val="TableNormal"/>
    <w:uiPriority w:val="59"/>
    <w:rsid w:val="00E10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97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lison.scott@cipfa.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Alison</dc:creator>
  <cp:lastModifiedBy>Allen, Matthew</cp:lastModifiedBy>
  <cp:revision>2</cp:revision>
  <dcterms:created xsi:type="dcterms:W3CDTF">2014-07-24T13:58:00Z</dcterms:created>
  <dcterms:modified xsi:type="dcterms:W3CDTF">2014-07-24T13:58:00Z</dcterms:modified>
</cp:coreProperties>
</file>