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72" w:rsidRDefault="007A2072" w:rsidP="007A2072">
      <w:pPr>
        <w:rPr>
          <w:b/>
          <w:bCs/>
        </w:rPr>
      </w:pPr>
      <w:r>
        <w:rPr>
          <w:b/>
          <w:bCs/>
        </w:rPr>
        <w:t>Link Asset Services</w:t>
      </w:r>
    </w:p>
    <w:p w:rsidR="007A2072" w:rsidRDefault="007A2072" w:rsidP="007A2072">
      <w:pPr>
        <w:rPr>
          <w:b/>
          <w:bCs/>
        </w:rPr>
      </w:pPr>
      <w:r>
        <w:rPr>
          <w:b/>
          <w:bCs/>
        </w:rPr>
        <w:t>Update to SDCT Meeting 8</w:t>
      </w:r>
      <w:r w:rsidRPr="007A2072">
        <w:rPr>
          <w:b/>
          <w:bCs/>
          <w:vertAlign w:val="superscript"/>
        </w:rPr>
        <w:t>th</w:t>
      </w:r>
      <w:r>
        <w:rPr>
          <w:b/>
          <w:bCs/>
        </w:rPr>
        <w:t xml:space="preserve"> March 2019</w:t>
      </w:r>
    </w:p>
    <w:p w:rsidR="007A2072" w:rsidRDefault="007A2072" w:rsidP="007A2072">
      <w:pPr>
        <w:rPr>
          <w:b/>
          <w:bCs/>
        </w:rPr>
      </w:pPr>
    </w:p>
    <w:p w:rsidR="007A2072" w:rsidRDefault="007A2072" w:rsidP="007A2072">
      <w:pPr>
        <w:rPr>
          <w:b/>
          <w:bCs/>
        </w:rPr>
      </w:pPr>
      <w:r>
        <w:rPr>
          <w:b/>
          <w:bCs/>
        </w:rPr>
        <w:t>Technical update:</w:t>
      </w:r>
    </w:p>
    <w:p w:rsidR="007A2072" w:rsidRDefault="007A2072" w:rsidP="007A207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IFRS9 Closedown Guide – we will be issuing a summary guide setting out the accounting entries for some of the most commonly held investments and liabilities held by local authorities;</w:t>
      </w:r>
    </w:p>
    <w:p w:rsidR="007A2072" w:rsidRDefault="007A2072" w:rsidP="007A207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 note to the accounts for financial instruments have changed significantly, we have therefore provided clients with some model notes which highlight the new requirements;</w:t>
      </w:r>
    </w:p>
    <w:p w:rsidR="007A2072" w:rsidRDefault="007A2072" w:rsidP="007A207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Expected credit loss (ECL) will be fine for most but long term debtors and investments may be a problem, if there are bad debt issues which have not been addressed historically;</w:t>
      </w:r>
    </w:p>
    <w:p w:rsidR="007A2072" w:rsidRDefault="007A2072" w:rsidP="007A207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Fair value will be as usual for closedown – we will be doing the ECL for treasury investments;</w:t>
      </w:r>
    </w:p>
    <w:p w:rsidR="007A2072" w:rsidRDefault="007A2072" w:rsidP="007A207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We are expecting more guidance from CIPFA on the commercialism agenda to clarify their position – this is likely to be clearer and a bit more restrictive - there seems to be a lot more audit activity in this area;</w:t>
      </w:r>
    </w:p>
    <w:p w:rsidR="007A2072" w:rsidRDefault="007A2072" w:rsidP="007A207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As usual, clients should contact us if there are any problems and we are happy to respond to any queries from the wider Executive.</w:t>
      </w:r>
    </w:p>
    <w:p w:rsidR="007A2072" w:rsidRDefault="007A2072" w:rsidP="007A2072"/>
    <w:p w:rsidR="007A2072" w:rsidRDefault="007A2072" w:rsidP="007A2072">
      <w:pPr>
        <w:rPr>
          <w:b/>
          <w:bCs/>
        </w:rPr>
      </w:pPr>
      <w:r>
        <w:rPr>
          <w:b/>
          <w:bCs/>
        </w:rPr>
        <w:t>IFRS16 update:</w:t>
      </w:r>
    </w:p>
    <w:p w:rsidR="007A2072" w:rsidRDefault="007A2072" w:rsidP="007A2072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CIPFA has confirmed a 12 month deferral, but keep the momentum going with preparation – there is a considerable amount of work to be done;</w:t>
      </w:r>
    </w:p>
    <w:p w:rsidR="007A2072" w:rsidRDefault="007A2072" w:rsidP="007A2072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Adoption / transition is now at 31/03/2021;</w:t>
      </w:r>
    </w:p>
    <w:p w:rsidR="007A2072" w:rsidRDefault="007A2072" w:rsidP="007A2072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Standard sets out a broad set of rules about how leases should be accounted for and how to transition from current lease accounting (Operating Leases) – a single accounting model, bringing almost all leases ‘on balance sheet’ – recognise a Right of Use (</w:t>
      </w:r>
      <w:proofErr w:type="spellStart"/>
      <w:r>
        <w:rPr>
          <w:rFonts w:eastAsia="Times New Roman"/>
        </w:rPr>
        <w:t>RoU</w:t>
      </w:r>
      <w:proofErr w:type="spellEnd"/>
      <w:r>
        <w:rPr>
          <w:rFonts w:eastAsia="Times New Roman"/>
        </w:rPr>
        <w:t>) asset and a lease liability;</w:t>
      </w:r>
    </w:p>
    <w:p w:rsidR="007A2072" w:rsidRDefault="007A2072" w:rsidP="007A2072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This is a substantial impact and data governance is essential;</w:t>
      </w:r>
    </w:p>
    <w:p w:rsidR="007A2072" w:rsidRDefault="007A2072" w:rsidP="007A2072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We have developed a comprehensive IFRS16 model and support service, which is attracting considerable interest.</w:t>
      </w:r>
    </w:p>
    <w:p w:rsidR="007A2072" w:rsidRDefault="007A2072" w:rsidP="007A2072">
      <w:pPr>
        <w:rPr>
          <w:b/>
          <w:bCs/>
        </w:rPr>
      </w:pPr>
    </w:p>
    <w:p w:rsidR="007A2072" w:rsidRDefault="007A2072" w:rsidP="007A2072">
      <w:pPr>
        <w:rPr>
          <w:b/>
          <w:bCs/>
        </w:rPr>
      </w:pPr>
      <w:r>
        <w:rPr>
          <w:b/>
          <w:bCs/>
        </w:rPr>
        <w:t xml:space="preserve">Business </w:t>
      </w:r>
      <w:proofErr w:type="gramStart"/>
      <w:r>
        <w:rPr>
          <w:b/>
          <w:bCs/>
        </w:rPr>
        <w:t>Planning</w:t>
      </w:r>
      <w:proofErr w:type="gramEnd"/>
      <w:r>
        <w:rPr>
          <w:b/>
          <w:bCs/>
        </w:rPr>
        <w:t xml:space="preserve"> update:</w:t>
      </w:r>
    </w:p>
    <w:p w:rsidR="007A2072" w:rsidRDefault="007A2072" w:rsidP="007A2072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b/>
          <w:bCs/>
        </w:rPr>
        <w:t>Capital Strategy</w:t>
      </w:r>
      <w:r>
        <w:rPr>
          <w:rFonts w:eastAsia="Times New Roman"/>
        </w:rPr>
        <w:t xml:space="preserve"> – we have worked with a number of clients in developing their capital strategy in time for 2019/20 reporting – challenges we have observed from clients, and a review of strategies published to date, are that authorities continue to struggle with balancing technical detail with overall strategy, are still concentrating mainly on medium term rather than developing a longer term strategy and are often not making strong links to strategic influences to inform capital ambition and overall strategy – we continue to provide tailored capital strategy support – we can review existing / draft capital strategies, undertake a capital planning review and provide a draft capital strategy structure and guided approach – in addition we are providing training / local workshops. </w:t>
      </w:r>
    </w:p>
    <w:p w:rsidR="007A2072" w:rsidRDefault="007A2072" w:rsidP="007A2072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b/>
          <w:bCs/>
        </w:rPr>
        <w:t>Business rates forecasting</w:t>
      </w:r>
      <w:r>
        <w:rPr>
          <w:rFonts w:eastAsia="Times New Roman"/>
        </w:rPr>
        <w:t xml:space="preserve"> – as previously presented to the Executive, we are working in partnership with Pixel Financial Management to develop business rates forecasting - our forecast captures current business rates data</w:t>
      </w:r>
      <w:r>
        <w:rPr>
          <w:rFonts w:eastAsia="Times New Roman"/>
          <w:color w:val="1F497D"/>
        </w:rPr>
        <w:t xml:space="preserve"> </w:t>
      </w:r>
      <w:r>
        <w:rPr>
          <w:rFonts w:eastAsia="Times New Roman"/>
        </w:rPr>
        <w:t>/ forecasting assumptions and feeds them into an interactive client area – specific site information also captured to consider impact of business rates growth and highlight risk from existing key sites – enables authority to maintain and adapt its business rates position on a real-time basis with aim of providing a sound base for business rates planning – forecast is flexible and is updated to reflect any future changes to business rates system and any local changes – we feel that this will be vital for effective financial planning over the coming years.</w:t>
      </w:r>
    </w:p>
    <w:p w:rsidR="007A2072" w:rsidRDefault="007A2072" w:rsidP="007A2072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b/>
          <w:bCs/>
        </w:rPr>
        <w:t>Business case development</w:t>
      </w:r>
      <w:r>
        <w:rPr>
          <w:rFonts w:eastAsia="Times New Roman"/>
        </w:rPr>
        <w:t xml:space="preserve"> – we have an experienced and accredited team, working with authorities, as part of individual projects, to draw project information together in three stages: Strategic Outline Case, Outline Business Case and Full Business Case, as aligned with the HMT </w:t>
      </w:r>
      <w:r>
        <w:rPr>
          <w:rFonts w:eastAsia="Times New Roman"/>
        </w:rPr>
        <w:lastRenderedPageBreak/>
        <w:t xml:space="preserve">Green Book five-case model – we bring experience, understanding and awareness of best practice in business planning processes and governance, which can be applied to local circumstances – we have to date worked with authorities on developing business cases for both internal funding bids and external (government) funding bids. </w:t>
      </w:r>
    </w:p>
    <w:p w:rsidR="007A2072" w:rsidRDefault="007A2072" w:rsidP="007A2072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b/>
          <w:bCs/>
        </w:rPr>
        <w:t>Capital modelling</w:t>
      </w:r>
      <w:r>
        <w:rPr>
          <w:rFonts w:eastAsia="Times New Roman"/>
        </w:rPr>
        <w:t xml:space="preserve"> – as previously presented to the Executive, we have developed 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capital model, which enables a capital investment plan to be fed into an interactive client area to present and report on key capital investment features – this better enables more efficient and transparent evaluation and prioritisation – it captures cost and benefits information, evaluates data consistently and allows for key variables to be tested – it can support rationale for proposed programmes and can provide additional modelling capability for various impacts such as funding stream, cash flow, service and local economic growth implications – in addition we have combined capital modelling with support on business case development, as a key element of developing a business case to strengthen profiling of financial / benefit implications over time. </w:t>
      </w:r>
    </w:p>
    <w:p w:rsidR="001A0770" w:rsidRDefault="001A0770"/>
    <w:p w:rsidR="006F1825" w:rsidRDefault="006F1825"/>
    <w:p w:rsidR="006F1825" w:rsidRDefault="006F1825"/>
    <w:p w:rsidR="006F1825" w:rsidRPr="006F1825" w:rsidRDefault="006F1825">
      <w:pPr>
        <w:rPr>
          <w:b/>
        </w:rPr>
      </w:pPr>
      <w:r w:rsidRPr="006F1825">
        <w:rPr>
          <w:b/>
        </w:rPr>
        <w:t>Lisa Quinn</w:t>
      </w:r>
      <w:r>
        <w:rPr>
          <w:b/>
        </w:rPr>
        <w:t xml:space="preserve"> – L</w:t>
      </w:r>
      <w:bookmarkStart w:id="0" w:name="_GoBack"/>
      <w:bookmarkEnd w:id="0"/>
      <w:r>
        <w:rPr>
          <w:b/>
        </w:rPr>
        <w:t>ink Asset Services</w:t>
      </w:r>
    </w:p>
    <w:sectPr w:rsidR="006F1825" w:rsidRPr="006F1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97882"/>
    <w:multiLevelType w:val="hybridMultilevel"/>
    <w:tmpl w:val="DE60B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740E81"/>
    <w:multiLevelType w:val="hybridMultilevel"/>
    <w:tmpl w:val="50427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F310F8"/>
    <w:multiLevelType w:val="hybridMultilevel"/>
    <w:tmpl w:val="48C05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72"/>
    <w:rsid w:val="001A0770"/>
    <w:rsid w:val="006F1825"/>
    <w:rsid w:val="007A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3695-5A28-47DF-94D4-A4CCA18F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0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2019-03-28T12:15:00Z</dcterms:created>
  <dcterms:modified xsi:type="dcterms:W3CDTF">2019-03-28T12:16:00Z</dcterms:modified>
</cp:coreProperties>
</file>