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76E28" w14:textId="77777777" w:rsidR="00B705C0" w:rsidRDefault="00B705C0" w:rsidP="00B705C0"/>
    <w:p w14:paraId="0A3BDE84" w14:textId="77777777" w:rsidR="00752546" w:rsidRPr="00B705C0" w:rsidRDefault="00752546" w:rsidP="00B705C0"/>
    <w:p w14:paraId="64C9D171" w14:textId="77777777" w:rsidR="00B705C0" w:rsidRPr="00B705C0" w:rsidRDefault="00B705C0" w:rsidP="00B705C0"/>
    <w:p w14:paraId="2D74BEE2" w14:textId="77777777" w:rsidR="00B705C0" w:rsidRPr="00B705C0" w:rsidRDefault="00B705C0" w:rsidP="00B705C0"/>
    <w:p w14:paraId="72CBADFA" w14:textId="77777777" w:rsidR="00B705C0" w:rsidRPr="00B705C0" w:rsidRDefault="00B705C0" w:rsidP="00B705C0"/>
    <w:p w14:paraId="0ADE53C6" w14:textId="77777777" w:rsidR="00B705C0" w:rsidRPr="00B705C0" w:rsidRDefault="00B705C0" w:rsidP="00B705C0"/>
    <w:p w14:paraId="0E408177" w14:textId="77777777" w:rsidR="00805F10" w:rsidRDefault="00805F10" w:rsidP="00805F10">
      <w:pPr>
        <w:spacing w:line="480" w:lineRule="auto"/>
        <w:rPr>
          <w:rFonts w:eastAsia="Calibri"/>
          <w:color w:val="00B0F0"/>
          <w:sz w:val="40"/>
          <w:szCs w:val="40"/>
        </w:rPr>
      </w:pPr>
    </w:p>
    <w:p w14:paraId="12E88279" w14:textId="0A7EE97D" w:rsidR="009630D9" w:rsidRDefault="00C522C4" w:rsidP="00C522C4">
      <w:pPr>
        <w:spacing w:after="120" w:line="360" w:lineRule="auto"/>
        <w:rPr>
          <w:rFonts w:eastAsia="Calibri"/>
          <w:color w:val="00B0F0"/>
          <w:sz w:val="40"/>
          <w:szCs w:val="40"/>
        </w:rPr>
      </w:pPr>
      <w:r>
        <w:rPr>
          <w:rFonts w:eastAsia="Calibri"/>
          <w:color w:val="00B0F0"/>
          <w:sz w:val="40"/>
          <w:szCs w:val="40"/>
        </w:rPr>
        <w:t>Briefing Note:</w:t>
      </w:r>
    </w:p>
    <w:p w14:paraId="1FF481F5" w14:textId="77777777" w:rsidR="00452919" w:rsidRDefault="00C522C4" w:rsidP="00C522C4">
      <w:pPr>
        <w:spacing w:after="120" w:line="360" w:lineRule="auto"/>
        <w:rPr>
          <w:rFonts w:eastAsia="Calibri"/>
          <w:color w:val="00B0F0"/>
          <w:sz w:val="40"/>
          <w:szCs w:val="40"/>
        </w:rPr>
      </w:pPr>
      <w:r>
        <w:rPr>
          <w:rFonts w:eastAsia="Calibri"/>
          <w:color w:val="00B0F0"/>
          <w:sz w:val="40"/>
          <w:szCs w:val="40"/>
        </w:rPr>
        <w:t xml:space="preserve">100% Business Rates Retention </w:t>
      </w:r>
      <w:r w:rsidR="00452919">
        <w:rPr>
          <w:rFonts w:eastAsia="Calibri"/>
          <w:color w:val="00B0F0"/>
          <w:sz w:val="40"/>
          <w:szCs w:val="40"/>
        </w:rPr>
        <w:t xml:space="preserve">Consultation: </w:t>
      </w:r>
    </w:p>
    <w:p w14:paraId="0FC4C324" w14:textId="022A4AA1" w:rsidR="00C522C4" w:rsidRDefault="00452919" w:rsidP="00C522C4">
      <w:pPr>
        <w:spacing w:after="120" w:line="360" w:lineRule="auto"/>
        <w:rPr>
          <w:rFonts w:eastAsia="Calibri"/>
          <w:color w:val="00B0F0"/>
          <w:sz w:val="40"/>
          <w:szCs w:val="40"/>
        </w:rPr>
      </w:pPr>
      <w:r>
        <w:rPr>
          <w:rFonts w:eastAsia="Calibri"/>
          <w:color w:val="00B0F0"/>
          <w:sz w:val="40"/>
          <w:szCs w:val="40"/>
        </w:rPr>
        <w:t>SDCT Draft Response</w:t>
      </w:r>
    </w:p>
    <w:p w14:paraId="0A1F8377" w14:textId="77777777" w:rsidR="00B705C0" w:rsidRPr="00FC4591" w:rsidRDefault="00805F10" w:rsidP="00805F10">
      <w:pPr>
        <w:tabs>
          <w:tab w:val="left" w:pos="6413"/>
        </w:tabs>
      </w:pPr>
      <w:r>
        <w:tab/>
      </w:r>
    </w:p>
    <w:p w14:paraId="76031E34" w14:textId="3650F4E9" w:rsidR="00B705C0" w:rsidRPr="00720B1C" w:rsidRDefault="00452919" w:rsidP="00337922">
      <w:pPr>
        <w:rPr>
          <w:rFonts w:eastAsia="Calibri"/>
          <w:color w:val="00B0F0"/>
          <w:sz w:val="32"/>
          <w:szCs w:val="40"/>
        </w:rPr>
      </w:pPr>
      <w:r>
        <w:rPr>
          <w:rFonts w:eastAsia="Calibri"/>
          <w:color w:val="00B0F0"/>
          <w:sz w:val="32"/>
          <w:szCs w:val="40"/>
        </w:rPr>
        <w:t>August</w:t>
      </w:r>
      <w:r w:rsidR="00BF223C">
        <w:rPr>
          <w:rFonts w:eastAsia="Calibri"/>
          <w:color w:val="00B0F0"/>
          <w:sz w:val="32"/>
          <w:szCs w:val="40"/>
        </w:rPr>
        <w:t xml:space="preserve"> </w:t>
      </w:r>
      <w:r w:rsidR="00752546">
        <w:rPr>
          <w:rFonts w:eastAsia="Calibri"/>
          <w:color w:val="00B0F0"/>
          <w:sz w:val="32"/>
          <w:szCs w:val="40"/>
        </w:rPr>
        <w:t>2016</w:t>
      </w:r>
      <w:r w:rsidR="00F52DC8">
        <w:rPr>
          <w:rFonts w:eastAsia="Calibri"/>
          <w:color w:val="00B0F0"/>
          <w:sz w:val="32"/>
          <w:szCs w:val="40"/>
        </w:rPr>
        <w:t xml:space="preserve"> </w:t>
      </w:r>
    </w:p>
    <w:p w14:paraId="70AAB702" w14:textId="77777777" w:rsidR="00B705C0" w:rsidRPr="00FC4591" w:rsidRDefault="00B705C0" w:rsidP="00B705C0">
      <w:pPr>
        <w:tabs>
          <w:tab w:val="left" w:pos="5940"/>
        </w:tabs>
      </w:pPr>
      <w:r w:rsidRPr="00FC4591">
        <w:tab/>
      </w:r>
    </w:p>
    <w:p w14:paraId="603BCD52" w14:textId="77777777" w:rsidR="00B705C0" w:rsidRPr="00FC4591" w:rsidRDefault="00B705C0" w:rsidP="00B705C0"/>
    <w:p w14:paraId="7140BDE5" w14:textId="77777777" w:rsidR="00B705C0" w:rsidRPr="00FC4591" w:rsidRDefault="00B705C0" w:rsidP="00B705C0"/>
    <w:p w14:paraId="5BC1E4BD" w14:textId="77777777" w:rsidR="00B705C0" w:rsidRPr="00FC4591" w:rsidRDefault="00B705C0" w:rsidP="00B705C0"/>
    <w:p w14:paraId="38710BE4" w14:textId="77777777" w:rsidR="00641FA3" w:rsidRPr="00FC4591" w:rsidRDefault="00641FA3" w:rsidP="00B705C0">
      <w:pPr>
        <w:sectPr w:rsidR="00641FA3" w:rsidRPr="00FC4591" w:rsidSect="00095F21">
          <w:headerReference w:type="default" r:id="rId8"/>
          <w:headerReference w:type="first" r:id="rId9"/>
          <w:footerReference w:type="first" r:id="rId10"/>
          <w:type w:val="continuous"/>
          <w:pgSz w:w="11900" w:h="16840"/>
          <w:pgMar w:top="2240" w:right="1000" w:bottom="1800" w:left="1000" w:header="840" w:footer="400" w:gutter="0"/>
          <w:cols w:space="708"/>
          <w:titlePg/>
        </w:sectPr>
      </w:pPr>
    </w:p>
    <w:p w14:paraId="1A9B7D25" w14:textId="77777777" w:rsidR="00CB7848" w:rsidRDefault="00752546" w:rsidP="00053FB4">
      <w:pPr>
        <w:pStyle w:val="TOCHeading"/>
        <w:tabs>
          <w:tab w:val="clear" w:pos="1425"/>
          <w:tab w:val="left" w:pos="1276"/>
        </w:tabs>
        <w:rPr>
          <w:noProof/>
        </w:rPr>
      </w:pPr>
      <w:bookmarkStart w:id="0" w:name="_Toc303893057"/>
      <w:bookmarkStart w:id="1" w:name="_Toc209324338"/>
      <w:bookmarkStart w:id="2" w:name="_Toc209324454"/>
      <w:bookmarkStart w:id="3" w:name="_Toc209324478"/>
      <w:bookmarkStart w:id="4" w:name="_Toc209948404"/>
      <w:bookmarkStart w:id="5" w:name="_Toc209948461"/>
      <w:bookmarkStart w:id="6" w:name="_Toc209948527"/>
      <w:bookmarkStart w:id="7" w:name="_Toc209948536"/>
      <w:bookmarkStart w:id="8" w:name="_Toc209948591"/>
      <w:bookmarkStart w:id="9" w:name="_Toc209948609"/>
      <w:r>
        <w:rPr>
          <w:rFonts w:ascii="Arial" w:hAnsi="Arial" w:cs="Arial"/>
          <w:b w:val="0"/>
          <w:color w:val="00B0F0"/>
          <w:sz w:val="32"/>
          <w:szCs w:val="32"/>
        </w:rPr>
        <w:lastRenderedPageBreak/>
        <w:t xml:space="preserve">        </w:t>
      </w:r>
      <w:r w:rsidR="00063FF9" w:rsidRPr="00263A15">
        <w:rPr>
          <w:rFonts w:ascii="Arial" w:hAnsi="Arial" w:cs="Arial"/>
          <w:b w:val="0"/>
          <w:color w:val="00B0F0"/>
          <w:sz w:val="36"/>
          <w:szCs w:val="36"/>
        </w:rPr>
        <w:t>Contents</w:t>
      </w:r>
      <w:r w:rsidR="008954D9">
        <w:rPr>
          <w:sz w:val="36"/>
          <w:szCs w:val="36"/>
        </w:rPr>
        <w:t xml:space="preserve">       </w:t>
      </w:r>
      <w:r w:rsidR="00A443E7" w:rsidRPr="00FF72F2">
        <w:rPr>
          <w:rFonts w:cs="Arial"/>
          <w:noProof/>
          <w:color w:val="0074E1"/>
          <w:sz w:val="36"/>
          <w:szCs w:val="36"/>
        </w:rPr>
        <w:fldChar w:fldCharType="begin"/>
      </w:r>
      <w:r w:rsidR="0007047E" w:rsidRPr="00FF72F2">
        <w:rPr>
          <w:sz w:val="36"/>
          <w:szCs w:val="36"/>
        </w:rPr>
        <w:instrText xml:space="preserve"> TOC \o "1-1" \h \z \u </w:instrText>
      </w:r>
      <w:r w:rsidR="00A443E7" w:rsidRPr="00FF72F2">
        <w:rPr>
          <w:rFonts w:cs="Arial"/>
          <w:noProof/>
          <w:color w:val="0074E1"/>
          <w:sz w:val="36"/>
          <w:szCs w:val="36"/>
        </w:rPr>
        <w:fldChar w:fldCharType="separate"/>
      </w:r>
    </w:p>
    <w:p w14:paraId="5A1CB840" w14:textId="77777777" w:rsidR="00CB7848" w:rsidRPr="00CB7848" w:rsidRDefault="001F2918">
      <w:pPr>
        <w:pStyle w:val="TOC1"/>
        <w:rPr>
          <w:rFonts w:asciiTheme="minorHAnsi" w:eastAsiaTheme="minorEastAsia" w:hAnsiTheme="minorHAnsi" w:cstheme="minorBidi"/>
          <w:b w:val="0"/>
          <w:color w:val="auto"/>
          <w:sz w:val="28"/>
          <w:szCs w:val="28"/>
          <w:lang w:eastAsia="en-GB"/>
        </w:rPr>
      </w:pPr>
      <w:hyperlink w:anchor="_Toc457465055" w:history="1">
        <w:r w:rsidR="00CB7848" w:rsidRPr="00CB7848">
          <w:rPr>
            <w:rStyle w:val="Hyperlink"/>
            <w:b w:val="0"/>
            <w:sz w:val="28"/>
            <w:szCs w:val="28"/>
          </w:rPr>
          <w:t>1.</w:t>
        </w:r>
        <w:r w:rsidR="00CB7848" w:rsidRPr="00CB7848">
          <w:rPr>
            <w:rFonts w:asciiTheme="minorHAnsi" w:eastAsiaTheme="minorEastAsia" w:hAnsiTheme="minorHAnsi" w:cstheme="minorBidi"/>
            <w:b w:val="0"/>
            <w:color w:val="auto"/>
            <w:sz w:val="28"/>
            <w:szCs w:val="28"/>
            <w:lang w:eastAsia="en-GB"/>
          </w:rPr>
          <w:tab/>
        </w:r>
        <w:r w:rsidR="00CB7848" w:rsidRPr="00CB7848">
          <w:rPr>
            <w:rStyle w:val="Hyperlink"/>
            <w:b w:val="0"/>
            <w:sz w:val="28"/>
            <w:szCs w:val="28"/>
          </w:rPr>
          <w:t>Introduction</w:t>
        </w:r>
        <w:r w:rsidR="00CB7848" w:rsidRPr="00CB7848">
          <w:rPr>
            <w:b w:val="0"/>
            <w:webHidden/>
            <w:sz w:val="28"/>
            <w:szCs w:val="28"/>
          </w:rPr>
          <w:tab/>
        </w:r>
        <w:r w:rsidR="00CB7848" w:rsidRPr="00CB7848">
          <w:rPr>
            <w:b w:val="0"/>
            <w:webHidden/>
            <w:sz w:val="28"/>
            <w:szCs w:val="28"/>
          </w:rPr>
          <w:fldChar w:fldCharType="begin"/>
        </w:r>
        <w:r w:rsidR="00CB7848" w:rsidRPr="00CB7848">
          <w:rPr>
            <w:b w:val="0"/>
            <w:webHidden/>
            <w:sz w:val="28"/>
            <w:szCs w:val="28"/>
          </w:rPr>
          <w:instrText xml:space="preserve"> PAGEREF _Toc457465055 \h </w:instrText>
        </w:r>
        <w:r w:rsidR="00CB7848" w:rsidRPr="00CB7848">
          <w:rPr>
            <w:b w:val="0"/>
            <w:webHidden/>
            <w:sz w:val="28"/>
            <w:szCs w:val="28"/>
          </w:rPr>
        </w:r>
        <w:r w:rsidR="00CB7848" w:rsidRPr="00CB7848">
          <w:rPr>
            <w:b w:val="0"/>
            <w:webHidden/>
            <w:sz w:val="28"/>
            <w:szCs w:val="28"/>
          </w:rPr>
          <w:fldChar w:fldCharType="separate"/>
        </w:r>
        <w:r>
          <w:rPr>
            <w:b w:val="0"/>
            <w:webHidden/>
            <w:sz w:val="28"/>
            <w:szCs w:val="28"/>
          </w:rPr>
          <w:t>3</w:t>
        </w:r>
        <w:r w:rsidR="00CB7848" w:rsidRPr="00CB7848">
          <w:rPr>
            <w:b w:val="0"/>
            <w:webHidden/>
            <w:sz w:val="28"/>
            <w:szCs w:val="28"/>
          </w:rPr>
          <w:fldChar w:fldCharType="end"/>
        </w:r>
      </w:hyperlink>
    </w:p>
    <w:p w14:paraId="1AD557DA" w14:textId="77777777" w:rsidR="00CB7848" w:rsidRPr="00CB7848" w:rsidRDefault="001F2918">
      <w:pPr>
        <w:pStyle w:val="TOC1"/>
        <w:rPr>
          <w:rFonts w:asciiTheme="minorHAnsi" w:eastAsiaTheme="minorEastAsia" w:hAnsiTheme="minorHAnsi" w:cstheme="minorBidi"/>
          <w:b w:val="0"/>
          <w:color w:val="auto"/>
          <w:sz w:val="28"/>
          <w:szCs w:val="28"/>
          <w:lang w:eastAsia="en-GB"/>
        </w:rPr>
      </w:pPr>
      <w:hyperlink w:anchor="_Toc457465056" w:history="1">
        <w:r w:rsidR="00CB7848" w:rsidRPr="00CB7848">
          <w:rPr>
            <w:rStyle w:val="Hyperlink"/>
            <w:b w:val="0"/>
            <w:sz w:val="28"/>
            <w:szCs w:val="28"/>
          </w:rPr>
          <w:t>2.</w:t>
        </w:r>
        <w:r w:rsidR="00CB7848" w:rsidRPr="00CB7848">
          <w:rPr>
            <w:rFonts w:asciiTheme="minorHAnsi" w:eastAsiaTheme="minorEastAsia" w:hAnsiTheme="minorHAnsi" w:cstheme="minorBidi"/>
            <w:b w:val="0"/>
            <w:color w:val="auto"/>
            <w:sz w:val="28"/>
            <w:szCs w:val="28"/>
            <w:lang w:eastAsia="en-GB"/>
          </w:rPr>
          <w:tab/>
        </w:r>
        <w:r w:rsidR="00CB7848" w:rsidRPr="00CB7848">
          <w:rPr>
            <w:rStyle w:val="Hyperlink"/>
            <w:b w:val="0"/>
            <w:sz w:val="28"/>
            <w:szCs w:val="28"/>
          </w:rPr>
          <w:t>Background &amp; context</w:t>
        </w:r>
        <w:r w:rsidR="00CB7848" w:rsidRPr="00CB7848">
          <w:rPr>
            <w:b w:val="0"/>
            <w:webHidden/>
            <w:sz w:val="28"/>
            <w:szCs w:val="28"/>
          </w:rPr>
          <w:tab/>
        </w:r>
        <w:r w:rsidR="00CB7848" w:rsidRPr="00CB7848">
          <w:rPr>
            <w:b w:val="0"/>
            <w:webHidden/>
            <w:sz w:val="28"/>
            <w:szCs w:val="28"/>
          </w:rPr>
          <w:fldChar w:fldCharType="begin"/>
        </w:r>
        <w:r w:rsidR="00CB7848" w:rsidRPr="00CB7848">
          <w:rPr>
            <w:b w:val="0"/>
            <w:webHidden/>
            <w:sz w:val="28"/>
            <w:szCs w:val="28"/>
          </w:rPr>
          <w:instrText xml:space="preserve"> PAGEREF _Toc457465056 \h </w:instrText>
        </w:r>
        <w:r w:rsidR="00CB7848" w:rsidRPr="00CB7848">
          <w:rPr>
            <w:b w:val="0"/>
            <w:webHidden/>
            <w:sz w:val="28"/>
            <w:szCs w:val="28"/>
          </w:rPr>
        </w:r>
        <w:r w:rsidR="00CB7848" w:rsidRPr="00CB7848">
          <w:rPr>
            <w:b w:val="0"/>
            <w:webHidden/>
            <w:sz w:val="28"/>
            <w:szCs w:val="28"/>
          </w:rPr>
          <w:fldChar w:fldCharType="separate"/>
        </w:r>
        <w:r>
          <w:rPr>
            <w:b w:val="0"/>
            <w:webHidden/>
            <w:sz w:val="28"/>
            <w:szCs w:val="28"/>
          </w:rPr>
          <w:t>4</w:t>
        </w:r>
        <w:r w:rsidR="00CB7848" w:rsidRPr="00CB7848">
          <w:rPr>
            <w:b w:val="0"/>
            <w:webHidden/>
            <w:sz w:val="28"/>
            <w:szCs w:val="28"/>
          </w:rPr>
          <w:fldChar w:fldCharType="end"/>
        </w:r>
      </w:hyperlink>
    </w:p>
    <w:p w14:paraId="05980F8E" w14:textId="77777777" w:rsidR="00CB7848" w:rsidRPr="00CB7848" w:rsidRDefault="001F2918">
      <w:pPr>
        <w:pStyle w:val="TOC1"/>
        <w:rPr>
          <w:rFonts w:asciiTheme="minorHAnsi" w:eastAsiaTheme="minorEastAsia" w:hAnsiTheme="minorHAnsi" w:cstheme="minorBidi"/>
          <w:b w:val="0"/>
          <w:color w:val="auto"/>
          <w:sz w:val="28"/>
          <w:szCs w:val="28"/>
          <w:lang w:eastAsia="en-GB"/>
        </w:rPr>
      </w:pPr>
      <w:hyperlink w:anchor="_Toc457465057" w:history="1">
        <w:r w:rsidR="00CB7848" w:rsidRPr="00CB7848">
          <w:rPr>
            <w:rStyle w:val="Hyperlink"/>
            <w:b w:val="0"/>
            <w:sz w:val="28"/>
            <w:szCs w:val="28"/>
          </w:rPr>
          <w:t>3.</w:t>
        </w:r>
        <w:r w:rsidR="00CB7848" w:rsidRPr="00CB7848">
          <w:rPr>
            <w:rFonts w:asciiTheme="minorHAnsi" w:eastAsiaTheme="minorEastAsia" w:hAnsiTheme="minorHAnsi" w:cstheme="minorBidi"/>
            <w:b w:val="0"/>
            <w:color w:val="auto"/>
            <w:sz w:val="28"/>
            <w:szCs w:val="28"/>
            <w:lang w:eastAsia="en-GB"/>
          </w:rPr>
          <w:tab/>
        </w:r>
        <w:r w:rsidR="00CB7848" w:rsidRPr="00CB7848">
          <w:rPr>
            <w:rStyle w:val="Hyperlink"/>
            <w:b w:val="0"/>
            <w:sz w:val="28"/>
            <w:szCs w:val="28"/>
          </w:rPr>
          <w:t>Devolution of responsibilities</w:t>
        </w:r>
        <w:r w:rsidR="00CB7848" w:rsidRPr="00CB7848">
          <w:rPr>
            <w:b w:val="0"/>
            <w:webHidden/>
            <w:sz w:val="28"/>
            <w:szCs w:val="28"/>
          </w:rPr>
          <w:tab/>
        </w:r>
        <w:r w:rsidR="00CB7848" w:rsidRPr="00CB7848">
          <w:rPr>
            <w:b w:val="0"/>
            <w:webHidden/>
            <w:sz w:val="28"/>
            <w:szCs w:val="28"/>
          </w:rPr>
          <w:fldChar w:fldCharType="begin"/>
        </w:r>
        <w:r w:rsidR="00CB7848" w:rsidRPr="00CB7848">
          <w:rPr>
            <w:b w:val="0"/>
            <w:webHidden/>
            <w:sz w:val="28"/>
            <w:szCs w:val="28"/>
          </w:rPr>
          <w:instrText xml:space="preserve"> PAGEREF _Toc457465057 \h </w:instrText>
        </w:r>
        <w:r w:rsidR="00CB7848" w:rsidRPr="00CB7848">
          <w:rPr>
            <w:b w:val="0"/>
            <w:webHidden/>
            <w:sz w:val="28"/>
            <w:szCs w:val="28"/>
          </w:rPr>
        </w:r>
        <w:r w:rsidR="00CB7848" w:rsidRPr="00CB7848">
          <w:rPr>
            <w:b w:val="0"/>
            <w:webHidden/>
            <w:sz w:val="28"/>
            <w:szCs w:val="28"/>
          </w:rPr>
          <w:fldChar w:fldCharType="separate"/>
        </w:r>
        <w:r>
          <w:rPr>
            <w:b w:val="0"/>
            <w:webHidden/>
            <w:sz w:val="28"/>
            <w:szCs w:val="28"/>
          </w:rPr>
          <w:t>5</w:t>
        </w:r>
        <w:r w:rsidR="00CB7848" w:rsidRPr="00CB7848">
          <w:rPr>
            <w:b w:val="0"/>
            <w:webHidden/>
            <w:sz w:val="28"/>
            <w:szCs w:val="28"/>
          </w:rPr>
          <w:fldChar w:fldCharType="end"/>
        </w:r>
      </w:hyperlink>
    </w:p>
    <w:p w14:paraId="35996765" w14:textId="77777777" w:rsidR="00CB7848" w:rsidRPr="00CB7848" w:rsidRDefault="001F2918">
      <w:pPr>
        <w:pStyle w:val="TOC1"/>
        <w:rPr>
          <w:rFonts w:asciiTheme="minorHAnsi" w:eastAsiaTheme="minorEastAsia" w:hAnsiTheme="minorHAnsi" w:cstheme="minorBidi"/>
          <w:b w:val="0"/>
          <w:color w:val="auto"/>
          <w:sz w:val="28"/>
          <w:szCs w:val="28"/>
          <w:lang w:eastAsia="en-GB"/>
        </w:rPr>
      </w:pPr>
      <w:hyperlink w:anchor="_Toc457465058" w:history="1">
        <w:r w:rsidR="00CB7848" w:rsidRPr="00CB7848">
          <w:rPr>
            <w:rStyle w:val="Hyperlink"/>
            <w:b w:val="0"/>
            <w:sz w:val="28"/>
            <w:szCs w:val="28"/>
          </w:rPr>
          <w:t>4.</w:t>
        </w:r>
        <w:r w:rsidR="00CB7848" w:rsidRPr="00CB7848">
          <w:rPr>
            <w:rFonts w:asciiTheme="minorHAnsi" w:eastAsiaTheme="minorEastAsia" w:hAnsiTheme="minorHAnsi" w:cstheme="minorBidi"/>
            <w:b w:val="0"/>
            <w:color w:val="auto"/>
            <w:sz w:val="28"/>
            <w:szCs w:val="28"/>
            <w:lang w:eastAsia="en-GB"/>
          </w:rPr>
          <w:tab/>
        </w:r>
        <w:r w:rsidR="00CB7848" w:rsidRPr="00CB7848">
          <w:rPr>
            <w:rStyle w:val="Hyperlink"/>
            <w:b w:val="0"/>
            <w:sz w:val="28"/>
            <w:szCs w:val="28"/>
          </w:rPr>
          <w:t>The business rates system</w:t>
        </w:r>
        <w:r w:rsidR="00CB7848" w:rsidRPr="00CB7848">
          <w:rPr>
            <w:b w:val="0"/>
            <w:webHidden/>
            <w:sz w:val="28"/>
            <w:szCs w:val="28"/>
          </w:rPr>
          <w:tab/>
        </w:r>
        <w:r w:rsidR="00CB7848" w:rsidRPr="00CB7848">
          <w:rPr>
            <w:b w:val="0"/>
            <w:webHidden/>
            <w:sz w:val="28"/>
            <w:szCs w:val="28"/>
          </w:rPr>
          <w:fldChar w:fldCharType="begin"/>
        </w:r>
        <w:r w:rsidR="00CB7848" w:rsidRPr="00CB7848">
          <w:rPr>
            <w:b w:val="0"/>
            <w:webHidden/>
            <w:sz w:val="28"/>
            <w:szCs w:val="28"/>
          </w:rPr>
          <w:instrText xml:space="preserve"> PAGEREF _Toc457465058 \h </w:instrText>
        </w:r>
        <w:r w:rsidR="00CB7848" w:rsidRPr="00CB7848">
          <w:rPr>
            <w:b w:val="0"/>
            <w:webHidden/>
            <w:sz w:val="28"/>
            <w:szCs w:val="28"/>
          </w:rPr>
        </w:r>
        <w:r w:rsidR="00CB7848" w:rsidRPr="00CB7848">
          <w:rPr>
            <w:b w:val="0"/>
            <w:webHidden/>
            <w:sz w:val="28"/>
            <w:szCs w:val="28"/>
          </w:rPr>
          <w:fldChar w:fldCharType="separate"/>
        </w:r>
        <w:r>
          <w:rPr>
            <w:b w:val="0"/>
            <w:webHidden/>
            <w:sz w:val="28"/>
            <w:szCs w:val="28"/>
          </w:rPr>
          <w:t>8</w:t>
        </w:r>
        <w:r w:rsidR="00CB7848" w:rsidRPr="00CB7848">
          <w:rPr>
            <w:b w:val="0"/>
            <w:webHidden/>
            <w:sz w:val="28"/>
            <w:szCs w:val="28"/>
          </w:rPr>
          <w:fldChar w:fldCharType="end"/>
        </w:r>
      </w:hyperlink>
    </w:p>
    <w:p w14:paraId="592058FE" w14:textId="77777777" w:rsidR="00CB7848" w:rsidRPr="00CB7848" w:rsidRDefault="001F2918">
      <w:pPr>
        <w:pStyle w:val="TOC1"/>
        <w:rPr>
          <w:rFonts w:asciiTheme="minorHAnsi" w:eastAsiaTheme="minorEastAsia" w:hAnsiTheme="minorHAnsi" w:cstheme="minorBidi"/>
          <w:b w:val="0"/>
          <w:color w:val="auto"/>
          <w:sz w:val="28"/>
          <w:szCs w:val="28"/>
          <w:lang w:eastAsia="en-GB"/>
        </w:rPr>
      </w:pPr>
      <w:hyperlink w:anchor="_Toc457465059" w:history="1">
        <w:r w:rsidR="00CB7848" w:rsidRPr="00CB7848">
          <w:rPr>
            <w:rStyle w:val="Hyperlink"/>
            <w:b w:val="0"/>
            <w:sz w:val="28"/>
            <w:szCs w:val="28"/>
          </w:rPr>
          <w:t>5.</w:t>
        </w:r>
        <w:r w:rsidR="00CB7848" w:rsidRPr="00CB7848">
          <w:rPr>
            <w:rFonts w:asciiTheme="minorHAnsi" w:eastAsiaTheme="minorEastAsia" w:hAnsiTheme="minorHAnsi" w:cstheme="minorBidi"/>
            <w:b w:val="0"/>
            <w:color w:val="auto"/>
            <w:sz w:val="28"/>
            <w:szCs w:val="28"/>
            <w:lang w:eastAsia="en-GB"/>
          </w:rPr>
          <w:tab/>
        </w:r>
        <w:r w:rsidR="00CB7848" w:rsidRPr="00CB7848">
          <w:rPr>
            <w:rStyle w:val="Hyperlink"/>
            <w:b w:val="0"/>
            <w:sz w:val="28"/>
            <w:szCs w:val="28"/>
          </w:rPr>
          <w:t>Local tax flexibilities</w:t>
        </w:r>
        <w:r w:rsidR="00CB7848" w:rsidRPr="00CB7848">
          <w:rPr>
            <w:b w:val="0"/>
            <w:webHidden/>
            <w:sz w:val="28"/>
            <w:szCs w:val="28"/>
          </w:rPr>
          <w:tab/>
        </w:r>
        <w:r w:rsidR="00CB7848" w:rsidRPr="00CB7848">
          <w:rPr>
            <w:b w:val="0"/>
            <w:webHidden/>
            <w:sz w:val="28"/>
            <w:szCs w:val="28"/>
          </w:rPr>
          <w:fldChar w:fldCharType="begin"/>
        </w:r>
        <w:r w:rsidR="00CB7848" w:rsidRPr="00CB7848">
          <w:rPr>
            <w:b w:val="0"/>
            <w:webHidden/>
            <w:sz w:val="28"/>
            <w:szCs w:val="28"/>
          </w:rPr>
          <w:instrText xml:space="preserve"> PAGEREF _Toc457465059 \h </w:instrText>
        </w:r>
        <w:r w:rsidR="00CB7848" w:rsidRPr="00CB7848">
          <w:rPr>
            <w:b w:val="0"/>
            <w:webHidden/>
            <w:sz w:val="28"/>
            <w:szCs w:val="28"/>
          </w:rPr>
        </w:r>
        <w:r w:rsidR="00CB7848" w:rsidRPr="00CB7848">
          <w:rPr>
            <w:b w:val="0"/>
            <w:webHidden/>
            <w:sz w:val="28"/>
            <w:szCs w:val="28"/>
          </w:rPr>
          <w:fldChar w:fldCharType="separate"/>
        </w:r>
        <w:r>
          <w:rPr>
            <w:b w:val="0"/>
            <w:webHidden/>
            <w:sz w:val="28"/>
            <w:szCs w:val="28"/>
          </w:rPr>
          <w:t>18</w:t>
        </w:r>
        <w:r w:rsidR="00CB7848" w:rsidRPr="00CB7848">
          <w:rPr>
            <w:b w:val="0"/>
            <w:webHidden/>
            <w:sz w:val="28"/>
            <w:szCs w:val="28"/>
          </w:rPr>
          <w:fldChar w:fldCharType="end"/>
        </w:r>
      </w:hyperlink>
    </w:p>
    <w:p w14:paraId="4902F72B" w14:textId="77777777" w:rsidR="00CB7848" w:rsidRPr="00CB7848" w:rsidRDefault="001F2918">
      <w:pPr>
        <w:pStyle w:val="TOC1"/>
        <w:rPr>
          <w:rFonts w:asciiTheme="minorHAnsi" w:eastAsiaTheme="minorEastAsia" w:hAnsiTheme="minorHAnsi" w:cstheme="minorBidi"/>
          <w:b w:val="0"/>
          <w:color w:val="auto"/>
          <w:sz w:val="28"/>
          <w:szCs w:val="28"/>
          <w:lang w:eastAsia="en-GB"/>
        </w:rPr>
      </w:pPr>
      <w:hyperlink w:anchor="_Toc457465060" w:history="1">
        <w:r w:rsidR="00CB7848" w:rsidRPr="00CB7848">
          <w:rPr>
            <w:rStyle w:val="Hyperlink"/>
            <w:b w:val="0"/>
            <w:sz w:val="28"/>
            <w:szCs w:val="28"/>
          </w:rPr>
          <w:t>6.</w:t>
        </w:r>
        <w:r w:rsidR="00CB7848" w:rsidRPr="00CB7848">
          <w:rPr>
            <w:rFonts w:asciiTheme="minorHAnsi" w:eastAsiaTheme="minorEastAsia" w:hAnsiTheme="minorHAnsi" w:cstheme="minorBidi"/>
            <w:b w:val="0"/>
            <w:color w:val="auto"/>
            <w:sz w:val="28"/>
            <w:szCs w:val="28"/>
            <w:lang w:eastAsia="en-GB"/>
          </w:rPr>
          <w:tab/>
        </w:r>
        <w:r w:rsidR="00CB7848" w:rsidRPr="00CB7848">
          <w:rPr>
            <w:rStyle w:val="Hyperlink"/>
            <w:b w:val="0"/>
            <w:sz w:val="28"/>
            <w:szCs w:val="28"/>
          </w:rPr>
          <w:t>Accountability and accounting</w:t>
        </w:r>
        <w:r w:rsidR="00CB7848" w:rsidRPr="00CB7848">
          <w:rPr>
            <w:b w:val="0"/>
            <w:webHidden/>
            <w:sz w:val="28"/>
            <w:szCs w:val="28"/>
          </w:rPr>
          <w:tab/>
        </w:r>
        <w:r w:rsidR="00CB7848" w:rsidRPr="00CB7848">
          <w:rPr>
            <w:b w:val="0"/>
            <w:webHidden/>
            <w:sz w:val="28"/>
            <w:szCs w:val="28"/>
          </w:rPr>
          <w:fldChar w:fldCharType="begin"/>
        </w:r>
        <w:r w:rsidR="00CB7848" w:rsidRPr="00CB7848">
          <w:rPr>
            <w:b w:val="0"/>
            <w:webHidden/>
            <w:sz w:val="28"/>
            <w:szCs w:val="28"/>
          </w:rPr>
          <w:instrText xml:space="preserve"> PAGEREF _Toc457465060 \h </w:instrText>
        </w:r>
        <w:r w:rsidR="00CB7848" w:rsidRPr="00CB7848">
          <w:rPr>
            <w:b w:val="0"/>
            <w:webHidden/>
            <w:sz w:val="28"/>
            <w:szCs w:val="28"/>
          </w:rPr>
        </w:r>
        <w:r w:rsidR="00CB7848" w:rsidRPr="00CB7848">
          <w:rPr>
            <w:b w:val="0"/>
            <w:webHidden/>
            <w:sz w:val="28"/>
            <w:szCs w:val="28"/>
          </w:rPr>
          <w:fldChar w:fldCharType="separate"/>
        </w:r>
        <w:r>
          <w:rPr>
            <w:b w:val="0"/>
            <w:webHidden/>
            <w:sz w:val="28"/>
            <w:szCs w:val="28"/>
          </w:rPr>
          <w:t>21</w:t>
        </w:r>
        <w:r w:rsidR="00CB7848" w:rsidRPr="00CB7848">
          <w:rPr>
            <w:b w:val="0"/>
            <w:webHidden/>
            <w:sz w:val="28"/>
            <w:szCs w:val="28"/>
          </w:rPr>
          <w:fldChar w:fldCharType="end"/>
        </w:r>
      </w:hyperlink>
    </w:p>
    <w:p w14:paraId="2BB12409" w14:textId="77777777" w:rsidR="00063FF9" w:rsidRPr="008954D9" w:rsidRDefault="00A443E7" w:rsidP="00A71A7A">
      <w:pPr>
        <w:ind w:left="709" w:hanging="709"/>
        <w:rPr>
          <w:sz w:val="36"/>
          <w:szCs w:val="36"/>
        </w:rPr>
      </w:pPr>
      <w:r w:rsidRPr="00FF72F2">
        <w:rPr>
          <w:sz w:val="36"/>
          <w:szCs w:val="36"/>
        </w:rPr>
        <w:fldChar w:fldCharType="end"/>
      </w:r>
    </w:p>
    <w:p w14:paraId="45C039D9" w14:textId="77777777" w:rsidR="00EF45C5" w:rsidRPr="00E93B4D" w:rsidRDefault="000D7B10" w:rsidP="0071233A">
      <w:pPr>
        <w:pStyle w:val="Heading1"/>
        <w:spacing w:before="360" w:after="120"/>
        <w:rPr>
          <w:color w:val="262626" w:themeColor="text1" w:themeTint="D9"/>
        </w:rPr>
      </w:pPr>
      <w:r w:rsidDel="000D7B10">
        <w:t xml:space="preserve"> </w:t>
      </w:r>
      <w:bookmarkEnd w:id="0"/>
      <w:bookmarkEnd w:id="1"/>
      <w:bookmarkEnd w:id="2"/>
      <w:bookmarkEnd w:id="3"/>
      <w:bookmarkEnd w:id="4"/>
      <w:bookmarkEnd w:id="5"/>
      <w:bookmarkEnd w:id="6"/>
      <w:bookmarkEnd w:id="7"/>
      <w:bookmarkEnd w:id="8"/>
      <w:bookmarkEnd w:id="9"/>
    </w:p>
    <w:p w14:paraId="7A7805BB" w14:textId="77777777" w:rsidR="000D7B10" w:rsidRDefault="000D7B10" w:rsidP="00671821">
      <w:pPr>
        <w:pStyle w:val="ListParagraph"/>
        <w:numPr>
          <w:ilvl w:val="0"/>
          <w:numId w:val="15"/>
        </w:numPr>
        <w:spacing w:before="360"/>
        <w:ind w:left="709" w:hanging="709"/>
        <w:rPr>
          <w:rFonts w:ascii="Arial" w:hAnsi="Arial" w:cs="Arial"/>
          <w:color w:val="00AEFF"/>
          <w:kern w:val="32"/>
          <w:sz w:val="40"/>
          <w:szCs w:val="32"/>
        </w:rPr>
        <w:sectPr w:rsidR="000D7B10" w:rsidSect="006C2BD4">
          <w:headerReference w:type="default" r:id="rId11"/>
          <w:footerReference w:type="default" r:id="rId12"/>
          <w:headerReference w:type="first" r:id="rId13"/>
          <w:footerReference w:type="first" r:id="rId14"/>
          <w:pgSz w:w="11900" w:h="16840" w:code="9"/>
          <w:pgMar w:top="720" w:right="720" w:bottom="720" w:left="720" w:header="839" w:footer="799" w:gutter="0"/>
          <w:cols w:space="708"/>
          <w:formProt w:val="0"/>
        </w:sectPr>
      </w:pPr>
    </w:p>
    <w:p w14:paraId="629CBE56" w14:textId="2E506F74" w:rsidR="00EF45C5" w:rsidRPr="0071233A" w:rsidRDefault="00EF45C5" w:rsidP="00CD2B8E">
      <w:pPr>
        <w:pStyle w:val="Level1"/>
        <w:numPr>
          <w:ilvl w:val="0"/>
          <w:numId w:val="16"/>
        </w:numPr>
      </w:pPr>
      <w:bookmarkStart w:id="10" w:name="_Toc457465055"/>
      <w:r w:rsidRPr="0071233A">
        <w:lastRenderedPageBreak/>
        <w:t>Introduction</w:t>
      </w:r>
      <w:bookmarkEnd w:id="10"/>
    </w:p>
    <w:p w14:paraId="4B1265E4" w14:textId="5C87B412" w:rsidR="00C522C4" w:rsidRDefault="00C522C4" w:rsidP="00FD1DBB">
      <w:pPr>
        <w:pStyle w:val="aaa"/>
        <w:keepNext w:val="0"/>
        <w:widowControl w:val="0"/>
      </w:pPr>
      <w:r>
        <w:t>On the 5 July 2016</w:t>
      </w:r>
      <w:r w:rsidR="00600ED9">
        <w:t>,</w:t>
      </w:r>
      <w:r>
        <w:t xml:space="preserve"> DCLG published the consultation paper </w:t>
      </w:r>
      <w:r w:rsidRPr="00FD1DBB">
        <w:rPr>
          <w:i/>
        </w:rPr>
        <w:t>“Self-</w:t>
      </w:r>
      <w:r w:rsidR="00661BFA" w:rsidRPr="00FD1DBB">
        <w:rPr>
          <w:i/>
        </w:rPr>
        <w:t xml:space="preserve">sufficient </w:t>
      </w:r>
      <w:r w:rsidRPr="00FD1DBB">
        <w:rPr>
          <w:i/>
        </w:rPr>
        <w:t xml:space="preserve">local government: 100% Business Rates Retention”.  </w:t>
      </w:r>
      <w:r>
        <w:t xml:space="preserve">The paper seeks views regarding the implementation of 100% Business Rates </w:t>
      </w:r>
      <w:r w:rsidR="00E7014C">
        <w:t xml:space="preserve">Retention </w:t>
      </w:r>
      <w:r>
        <w:t xml:space="preserve">for local government.  </w:t>
      </w:r>
      <w:r w:rsidR="00EA7747">
        <w:t xml:space="preserve">The consultation paper can be accessed by </w:t>
      </w:r>
      <w:hyperlink r:id="rId15" w:history="1">
        <w:r w:rsidR="00EA7747" w:rsidRPr="00EA7747">
          <w:rPr>
            <w:rStyle w:val="Hyperlink"/>
          </w:rPr>
          <w:t>clicking here</w:t>
        </w:r>
      </w:hyperlink>
      <w:r w:rsidR="00EA7747">
        <w:t xml:space="preserve">. </w:t>
      </w:r>
    </w:p>
    <w:p w14:paraId="7D58688E" w14:textId="7639F419" w:rsidR="005527AD" w:rsidRDefault="005527AD" w:rsidP="00FD1DBB">
      <w:pPr>
        <w:pStyle w:val="aaa"/>
        <w:keepNext w:val="0"/>
        <w:widowControl w:val="0"/>
      </w:pPr>
      <w:r>
        <w:t>This briefing note provides a draft response to the consultation on behalf of the Society of District Council Treasurers (SDCT).</w:t>
      </w:r>
    </w:p>
    <w:p w14:paraId="5068E6B7" w14:textId="6367E09B" w:rsidR="00C522C4" w:rsidRDefault="00C522C4" w:rsidP="00FD1DBB">
      <w:pPr>
        <w:pStyle w:val="Heading3"/>
        <w:keepNext w:val="0"/>
        <w:widowControl w:val="0"/>
      </w:pPr>
      <w:r>
        <w:t>Background</w:t>
      </w:r>
    </w:p>
    <w:p w14:paraId="78CFA138" w14:textId="52DE096B" w:rsidR="00C522C4" w:rsidRDefault="00983548" w:rsidP="00FD1DBB">
      <w:pPr>
        <w:pStyle w:val="aaa"/>
        <w:keepNext w:val="0"/>
        <w:widowControl w:val="0"/>
      </w:pPr>
      <w:r>
        <w:t xml:space="preserve">It is the intention of government to introduce 100% Business </w:t>
      </w:r>
      <w:r w:rsidR="00E7014C">
        <w:t>R</w:t>
      </w:r>
      <w:r>
        <w:t>ates Retention to local government by the end of the parliament</w:t>
      </w:r>
      <w:r w:rsidR="00E7014C">
        <w:t xml:space="preserve">. </w:t>
      </w:r>
      <w:r>
        <w:t xml:space="preserve"> </w:t>
      </w:r>
      <w:r w:rsidR="00661BFA">
        <w:t xml:space="preserve">It is expected that at the same time the government will </w:t>
      </w:r>
      <w:r w:rsidR="00FD1DBB">
        <w:t xml:space="preserve">update the relative need formulae </w:t>
      </w:r>
      <w:r w:rsidR="00661BFA">
        <w:t xml:space="preserve">(i.e. </w:t>
      </w:r>
      <w:r w:rsidR="00FD1DBB">
        <w:t xml:space="preserve">that determine </w:t>
      </w:r>
      <w:r w:rsidR="00661BFA">
        <w:t xml:space="preserve">the amount of resources that an authority will have if it collects at its </w:t>
      </w:r>
      <w:r w:rsidR="00FD1DBB">
        <w:t>business rates target</w:t>
      </w:r>
      <w:r w:rsidR="00661BFA">
        <w:t xml:space="preserve">).  A discussion paper on the review of the Baseline Need figure was also published on 5 July 2016 </w:t>
      </w:r>
      <w:r w:rsidR="005527AD">
        <w:t>and a separate draft response to this paper is also being prepared for the SDCT</w:t>
      </w:r>
      <w:r w:rsidR="00661BFA">
        <w:t xml:space="preserve">. </w:t>
      </w:r>
    </w:p>
    <w:p w14:paraId="572AE164" w14:textId="6D35F7B9" w:rsidR="006846F7" w:rsidRDefault="006846F7" w:rsidP="006846F7">
      <w:pPr>
        <w:pStyle w:val="Heading3"/>
      </w:pPr>
      <w:r>
        <w:t>Structure of this note</w:t>
      </w:r>
    </w:p>
    <w:p w14:paraId="3F25E2E3" w14:textId="0CACF841" w:rsidR="006846F7" w:rsidRDefault="006846F7" w:rsidP="006846F7">
      <w:pPr>
        <w:pStyle w:val="aaa"/>
        <w:keepNext w:val="0"/>
        <w:widowControl w:val="0"/>
      </w:pPr>
      <w:r>
        <w:t>The consultation paper has 4 sections</w:t>
      </w:r>
      <w:r w:rsidR="00993569">
        <w:t xml:space="preserve"> that include 36 questions </w:t>
      </w:r>
      <w:r>
        <w:t xml:space="preserve">it is seeking responses on.  This note provides an overview of the four sections, the relevant questions within and a suggested view of the SDCT.  It will identify where the SDCT may want to advise members to respond in a similar manner and others where local priorities could be of greater consequence.  </w:t>
      </w:r>
    </w:p>
    <w:p w14:paraId="2B7DEF17" w14:textId="77777777" w:rsidR="006846F7" w:rsidRDefault="006846F7" w:rsidP="006846F7">
      <w:pPr>
        <w:pStyle w:val="aaa"/>
        <w:keepNext w:val="0"/>
        <w:widowControl w:val="0"/>
      </w:pPr>
      <w:r>
        <w:t xml:space="preserve">LG Futures is able to offer further support to individual districts in assessing the potential implications of the issues locally and in responding to the consultation.  It will also be holding regional events in the first half of September to assist local authorities in understanding the main issues, challenges and risks arising from the consultation to assist them in effectively making a response. </w:t>
      </w:r>
    </w:p>
    <w:p w14:paraId="79A9D481" w14:textId="27B3AE19" w:rsidR="006846F7" w:rsidRDefault="006846F7" w:rsidP="006846F7">
      <w:pPr>
        <w:pStyle w:val="Heading3"/>
      </w:pPr>
      <w:r>
        <w:t>Responding to the consultation</w:t>
      </w:r>
    </w:p>
    <w:p w14:paraId="31AE8703" w14:textId="5ABB052C" w:rsidR="006846F7" w:rsidRDefault="006846F7" w:rsidP="005B060A">
      <w:pPr>
        <w:pStyle w:val="Level2"/>
      </w:pPr>
      <w:r>
        <w:t>The deadline for responses is Monday 26 September 2016.</w:t>
      </w:r>
      <w:r w:rsidR="00CB7848">
        <w:t xml:space="preserve"> </w:t>
      </w:r>
      <w:r>
        <w:t xml:space="preserve">Responses can be sent by email to: </w:t>
      </w:r>
    </w:p>
    <w:p w14:paraId="0F7E3B9C" w14:textId="77777777" w:rsidR="006846F7" w:rsidRPr="00CE6A38" w:rsidRDefault="001F2918" w:rsidP="006846F7">
      <w:pPr>
        <w:autoSpaceDE w:val="0"/>
        <w:autoSpaceDN w:val="0"/>
        <w:adjustRightInd w:val="0"/>
        <w:spacing w:before="0" w:after="0" w:line="240" w:lineRule="auto"/>
        <w:ind w:left="236" w:firstLine="964"/>
        <w:rPr>
          <w:rFonts w:cs="Arial"/>
          <w:color w:val="000000"/>
          <w:sz w:val="23"/>
          <w:szCs w:val="23"/>
          <w:lang w:eastAsia="en-GB"/>
        </w:rPr>
      </w:pPr>
      <w:hyperlink r:id="rId16" w:history="1">
        <w:r w:rsidR="006846F7" w:rsidRPr="003F5647">
          <w:rPr>
            <w:rStyle w:val="Hyperlink"/>
            <w:rFonts w:cs="Arial"/>
            <w:sz w:val="23"/>
            <w:szCs w:val="23"/>
            <w:lang w:eastAsia="en-GB"/>
          </w:rPr>
          <w:t>BRRconsultation@communities.gsi.gov.uk</w:t>
        </w:r>
      </w:hyperlink>
      <w:r w:rsidR="006846F7" w:rsidRPr="00CE6A38">
        <w:rPr>
          <w:rFonts w:cs="Arial"/>
          <w:color w:val="000000"/>
          <w:sz w:val="23"/>
          <w:szCs w:val="23"/>
          <w:lang w:eastAsia="en-GB"/>
        </w:rPr>
        <w:t xml:space="preserve"> </w:t>
      </w:r>
    </w:p>
    <w:p w14:paraId="78C18804" w14:textId="77777777" w:rsidR="006846F7" w:rsidRDefault="006846F7" w:rsidP="006846F7">
      <w:pPr>
        <w:pStyle w:val="Level2"/>
      </w:pPr>
      <w:r>
        <w:t>Or by post to:</w:t>
      </w:r>
    </w:p>
    <w:p w14:paraId="338BF212" w14:textId="77777777" w:rsidR="006846F7" w:rsidRPr="00CE6A38" w:rsidRDefault="006846F7" w:rsidP="006846F7">
      <w:pPr>
        <w:pStyle w:val="Style1"/>
        <w:numPr>
          <w:ilvl w:val="0"/>
          <w:numId w:val="0"/>
        </w:numPr>
        <w:spacing w:before="0" w:after="0" w:line="240" w:lineRule="auto"/>
        <w:ind w:left="1202"/>
        <w:rPr>
          <w:lang w:eastAsia="en-GB"/>
        </w:rPr>
      </w:pPr>
      <w:r w:rsidRPr="00CE6A38">
        <w:rPr>
          <w:lang w:eastAsia="en-GB"/>
        </w:rPr>
        <w:t xml:space="preserve">Business Rates Retention Consultation </w:t>
      </w:r>
    </w:p>
    <w:p w14:paraId="1AD276AE" w14:textId="77777777" w:rsidR="006846F7" w:rsidRPr="00CE6A38" w:rsidRDefault="006846F7" w:rsidP="006846F7">
      <w:pPr>
        <w:pStyle w:val="Style1"/>
        <w:numPr>
          <w:ilvl w:val="0"/>
          <w:numId w:val="0"/>
        </w:numPr>
        <w:spacing w:before="0" w:after="0" w:line="240" w:lineRule="auto"/>
        <w:ind w:left="1202"/>
        <w:rPr>
          <w:lang w:eastAsia="en-GB"/>
        </w:rPr>
      </w:pPr>
      <w:r w:rsidRPr="00CE6A38">
        <w:rPr>
          <w:lang w:eastAsia="en-GB"/>
        </w:rPr>
        <w:t xml:space="preserve">Local Government Finance </w:t>
      </w:r>
    </w:p>
    <w:p w14:paraId="171FB865" w14:textId="77777777" w:rsidR="006846F7" w:rsidRPr="00CE6A38" w:rsidRDefault="006846F7" w:rsidP="006846F7">
      <w:pPr>
        <w:pStyle w:val="Style1"/>
        <w:numPr>
          <w:ilvl w:val="0"/>
          <w:numId w:val="0"/>
        </w:numPr>
        <w:spacing w:before="0" w:after="0" w:line="240" w:lineRule="auto"/>
        <w:ind w:left="1202"/>
        <w:rPr>
          <w:lang w:eastAsia="en-GB"/>
        </w:rPr>
      </w:pPr>
      <w:r w:rsidRPr="00CE6A38">
        <w:rPr>
          <w:lang w:eastAsia="en-GB"/>
        </w:rPr>
        <w:t xml:space="preserve">Department for Communities and Local Government </w:t>
      </w:r>
    </w:p>
    <w:p w14:paraId="36F1C399" w14:textId="77777777" w:rsidR="006846F7" w:rsidRPr="00CE6A38" w:rsidRDefault="006846F7" w:rsidP="006846F7">
      <w:pPr>
        <w:pStyle w:val="Style1"/>
        <w:numPr>
          <w:ilvl w:val="0"/>
          <w:numId w:val="0"/>
        </w:numPr>
        <w:spacing w:before="0" w:after="0" w:line="240" w:lineRule="auto"/>
        <w:ind w:left="1202"/>
        <w:rPr>
          <w:lang w:eastAsia="en-GB"/>
        </w:rPr>
      </w:pPr>
      <w:r w:rsidRPr="00CE6A38">
        <w:rPr>
          <w:lang w:eastAsia="en-GB"/>
        </w:rPr>
        <w:t xml:space="preserve">2nd floor, Fry Building </w:t>
      </w:r>
    </w:p>
    <w:p w14:paraId="73E9944E" w14:textId="77777777" w:rsidR="006846F7" w:rsidRPr="00CE6A38" w:rsidRDefault="006846F7" w:rsidP="006846F7">
      <w:pPr>
        <w:pStyle w:val="Style1"/>
        <w:numPr>
          <w:ilvl w:val="0"/>
          <w:numId w:val="0"/>
        </w:numPr>
        <w:spacing w:before="0" w:after="0" w:line="240" w:lineRule="auto"/>
        <w:ind w:left="1202"/>
        <w:rPr>
          <w:lang w:eastAsia="en-GB"/>
        </w:rPr>
      </w:pPr>
      <w:r w:rsidRPr="00CE6A38">
        <w:rPr>
          <w:lang w:eastAsia="en-GB"/>
        </w:rPr>
        <w:t xml:space="preserve">2 Marsham Street </w:t>
      </w:r>
    </w:p>
    <w:p w14:paraId="62EB585D" w14:textId="77777777" w:rsidR="006846F7" w:rsidRDefault="006846F7" w:rsidP="006846F7">
      <w:pPr>
        <w:pStyle w:val="Style1"/>
        <w:numPr>
          <w:ilvl w:val="0"/>
          <w:numId w:val="0"/>
        </w:numPr>
        <w:spacing w:before="0" w:after="0" w:line="240" w:lineRule="auto"/>
        <w:ind w:left="1202"/>
      </w:pPr>
      <w:r w:rsidRPr="00CE6A38">
        <w:rPr>
          <w:lang w:eastAsia="en-GB"/>
        </w:rPr>
        <w:t xml:space="preserve">London SW1P 4DF </w:t>
      </w:r>
    </w:p>
    <w:p w14:paraId="4DA0B4E7" w14:textId="77777777" w:rsidR="005527AD" w:rsidRDefault="005527AD">
      <w:pPr>
        <w:spacing w:before="0" w:after="0" w:line="240" w:lineRule="auto"/>
        <w:rPr>
          <w:color w:val="0074E1"/>
          <w:kern w:val="32"/>
          <w:sz w:val="30"/>
          <w:szCs w:val="32"/>
        </w:rPr>
      </w:pPr>
    </w:p>
    <w:p w14:paraId="61ED78B5" w14:textId="486B3790" w:rsidR="006846F7" w:rsidRPr="0071233A" w:rsidRDefault="006846F7" w:rsidP="006846F7">
      <w:pPr>
        <w:pStyle w:val="Level1"/>
        <w:keepNext w:val="0"/>
        <w:widowControl w:val="0"/>
      </w:pPr>
      <w:bookmarkStart w:id="11" w:name="_Toc457465056"/>
      <w:r>
        <w:lastRenderedPageBreak/>
        <w:t>Background &amp; context</w:t>
      </w:r>
      <w:bookmarkEnd w:id="11"/>
    </w:p>
    <w:p w14:paraId="25C03523" w14:textId="78640A76" w:rsidR="00EA7747" w:rsidRPr="00B70A7B" w:rsidRDefault="00F60438" w:rsidP="00B659A7">
      <w:pPr>
        <w:pStyle w:val="aaa"/>
        <w:keepNext w:val="0"/>
      </w:pPr>
      <w:r w:rsidRPr="00B70A7B">
        <w:t xml:space="preserve">The paper includes a Ministerial foreword from Greg Clark, the Secretary of State for Communities and Local Government.  Within the foreword he reaffirms the Government’s commitment to 100% business rates.  </w:t>
      </w:r>
      <w:r w:rsidR="005C1215">
        <w:t xml:space="preserve">The </w:t>
      </w:r>
      <w:r w:rsidRPr="00B70A7B">
        <w:t xml:space="preserve">government </w:t>
      </w:r>
      <w:r w:rsidR="005C1215">
        <w:t xml:space="preserve">emphasises that it is </w:t>
      </w:r>
      <w:r w:rsidRPr="00B70A7B">
        <w:t xml:space="preserve">not looking for “a one size fits all solution” </w:t>
      </w:r>
      <w:r w:rsidR="00EA7747" w:rsidRPr="00B70A7B">
        <w:t xml:space="preserve">with the Minister encouraging authorities “to consider how the system can be tailored to local needs and opportunities”.  </w:t>
      </w:r>
    </w:p>
    <w:p w14:paraId="1632ECC1" w14:textId="7A6F27C9" w:rsidR="00EA7747" w:rsidRPr="00B70A7B" w:rsidRDefault="00425288" w:rsidP="00B659A7">
      <w:pPr>
        <w:pStyle w:val="aaa"/>
        <w:keepNext w:val="0"/>
      </w:pPr>
      <w:r>
        <w:t>This</w:t>
      </w:r>
      <w:r w:rsidR="00EA7747" w:rsidRPr="00B70A7B">
        <w:t xml:space="preserve"> potential for local tailoring also increases the importance of the role of stakeholders in being aware of what would be best locally and contributing to the debate.  The consultation paper offers them an opportunity to do this and therefore authorities and their respective groups will need to consider carefully how they respond to the questions asked.  </w:t>
      </w:r>
    </w:p>
    <w:p w14:paraId="5C3B9A46" w14:textId="77777777" w:rsidR="006846F7" w:rsidRPr="00C00A07" w:rsidRDefault="006846F7" w:rsidP="006846F7">
      <w:pPr>
        <w:pStyle w:val="Heading3"/>
        <w:keepNext w:val="0"/>
        <w:widowControl w:val="0"/>
      </w:pPr>
      <w:r w:rsidRPr="00C00A07">
        <w:t>Current 50% BRR system</w:t>
      </w:r>
    </w:p>
    <w:p w14:paraId="759A4E23" w14:textId="77777777" w:rsidR="006846F7" w:rsidRDefault="006846F7" w:rsidP="006846F7">
      <w:pPr>
        <w:pStyle w:val="Style1"/>
        <w:keepNext w:val="0"/>
        <w:widowControl w:val="0"/>
      </w:pPr>
      <w:r>
        <w:t xml:space="preserve">The current BRR scheme was introduced in April 2013.  It allowed local government to retain 50% of business rate revenues, with the remaining 50% retained by central government. In order to equalise between areas with different business rate taxbases there is a system of top ups and tariff in place.  </w:t>
      </w:r>
    </w:p>
    <w:p w14:paraId="3BB48555" w14:textId="77777777" w:rsidR="006846F7" w:rsidRDefault="006846F7" w:rsidP="006846F7">
      <w:pPr>
        <w:pStyle w:val="Style1"/>
        <w:keepNext w:val="0"/>
        <w:widowControl w:val="0"/>
      </w:pPr>
      <w:r>
        <w:t xml:space="preserve">The system allows 50% of business rates growth to be retained by local government.  Within that individual authorities that pay tariffs pay a levy on growth of up to 50% which is used to fund a safety net system, protecting authorities with a reduction in retained income of more than 7.5% of their assessed need level.   </w:t>
      </w:r>
    </w:p>
    <w:p w14:paraId="176BE805" w14:textId="77777777" w:rsidR="006846F7" w:rsidRPr="006846F7" w:rsidRDefault="006846F7" w:rsidP="006846F7">
      <w:pPr>
        <w:pStyle w:val="Style1"/>
        <w:keepNext w:val="0"/>
        <w:widowControl w:val="0"/>
      </w:pPr>
      <w:r w:rsidRPr="006846F7">
        <w:t xml:space="preserve">The government expects the new system will retain the top up / tariff approach and include a safety net, but there will not be a levy.  </w:t>
      </w:r>
    </w:p>
    <w:p w14:paraId="503FAB66" w14:textId="59EB3A04" w:rsidR="00425288" w:rsidRDefault="006846F7" w:rsidP="005B060A">
      <w:pPr>
        <w:pStyle w:val="Level2"/>
        <w:keepNext w:val="0"/>
      </w:pPr>
      <w:r w:rsidRPr="006846F7">
        <w:rPr>
          <w:rFonts w:cs="Arial"/>
        </w:rPr>
        <w:t xml:space="preserve">The paper also </w:t>
      </w:r>
      <w:r>
        <w:rPr>
          <w:rFonts w:cs="Arial"/>
        </w:rPr>
        <w:t>c</w:t>
      </w:r>
      <w:r w:rsidR="00425288">
        <w:t xml:space="preserve">onfirms that the move from 50% to 100% Business Rates Retention (BRR) will see a new responsibilities given to local government, with certain central government grants phased out. </w:t>
      </w:r>
    </w:p>
    <w:p w14:paraId="1FE67FFB" w14:textId="198F16B8" w:rsidR="00425288" w:rsidRDefault="00425288" w:rsidP="00B659A7">
      <w:pPr>
        <w:pStyle w:val="Level2"/>
        <w:keepNext w:val="0"/>
        <w:rPr>
          <w:rFonts w:cs="Arial"/>
        </w:rPr>
      </w:pPr>
      <w:r>
        <w:rPr>
          <w:rFonts w:cs="Arial"/>
        </w:rPr>
        <w:t>The paper sets out the following timetable for 100% BRR.</w:t>
      </w:r>
    </w:p>
    <w:tbl>
      <w:tblPr>
        <w:tblW w:w="9356" w:type="dxa"/>
        <w:tblInd w:w="12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2835"/>
        <w:gridCol w:w="6521"/>
      </w:tblGrid>
      <w:tr w:rsidR="00425288" w:rsidRPr="00425288" w14:paraId="1DB77960" w14:textId="77777777" w:rsidTr="006B783C">
        <w:trPr>
          <w:trHeight w:val="680"/>
        </w:trPr>
        <w:tc>
          <w:tcPr>
            <w:tcW w:w="2835" w:type="dxa"/>
            <w:shd w:val="clear" w:color="auto" w:fill="F2F2F2" w:themeFill="background1" w:themeFillShade="F2"/>
            <w:vAlign w:val="center"/>
          </w:tcPr>
          <w:p w14:paraId="43727E92" w14:textId="74E83CFD" w:rsidR="00425288" w:rsidRPr="00425288" w:rsidRDefault="00425288" w:rsidP="006846F7">
            <w:pPr>
              <w:pStyle w:val="aaa"/>
              <w:keepNext w:val="0"/>
              <w:numPr>
                <w:ilvl w:val="0"/>
                <w:numId w:val="0"/>
              </w:numPr>
              <w:spacing w:before="0" w:after="0" w:line="260" w:lineRule="exact"/>
              <w:jc w:val="left"/>
              <w:rPr>
                <w:lang w:eastAsia="en-GB"/>
              </w:rPr>
            </w:pPr>
            <w:r>
              <w:rPr>
                <w:lang w:eastAsia="en-GB"/>
              </w:rPr>
              <w:t xml:space="preserve">Consultation ending </w:t>
            </w:r>
            <w:r w:rsidR="00B659A7">
              <w:rPr>
                <w:lang w:eastAsia="en-GB"/>
              </w:rPr>
              <w:t xml:space="preserve">         </w:t>
            </w:r>
            <w:r>
              <w:rPr>
                <w:lang w:eastAsia="en-GB"/>
              </w:rPr>
              <w:t>26 September 2016</w:t>
            </w:r>
            <w:r w:rsidRPr="00425288">
              <w:rPr>
                <w:lang w:eastAsia="en-GB"/>
              </w:rPr>
              <w:t xml:space="preserve"> </w:t>
            </w:r>
          </w:p>
        </w:tc>
        <w:tc>
          <w:tcPr>
            <w:tcW w:w="6521" w:type="dxa"/>
            <w:shd w:val="clear" w:color="auto" w:fill="F2F2F2" w:themeFill="background1" w:themeFillShade="F2"/>
            <w:vAlign w:val="center"/>
          </w:tcPr>
          <w:p w14:paraId="1A6E8A2C" w14:textId="243CE790" w:rsidR="00425288" w:rsidRPr="00425288" w:rsidRDefault="00425288" w:rsidP="006846F7">
            <w:pPr>
              <w:pStyle w:val="aaa"/>
              <w:keepNext w:val="0"/>
              <w:numPr>
                <w:ilvl w:val="0"/>
                <w:numId w:val="0"/>
              </w:numPr>
              <w:spacing w:before="0" w:after="0" w:line="260" w:lineRule="exact"/>
              <w:ind w:left="1200" w:hanging="1200"/>
              <w:rPr>
                <w:lang w:eastAsia="en-GB"/>
              </w:rPr>
            </w:pPr>
            <w:r w:rsidRPr="00425288">
              <w:rPr>
                <w:lang w:eastAsia="en-GB"/>
              </w:rPr>
              <w:t xml:space="preserve">Consultation on the approach to 100% business rates retention. </w:t>
            </w:r>
          </w:p>
        </w:tc>
      </w:tr>
      <w:tr w:rsidR="00425288" w:rsidRPr="00425288" w14:paraId="04EE5F26" w14:textId="77777777" w:rsidTr="006B783C">
        <w:trPr>
          <w:trHeight w:val="680"/>
        </w:trPr>
        <w:tc>
          <w:tcPr>
            <w:tcW w:w="2835" w:type="dxa"/>
            <w:shd w:val="clear" w:color="auto" w:fill="F2F2F2" w:themeFill="background1" w:themeFillShade="F2"/>
            <w:vAlign w:val="center"/>
          </w:tcPr>
          <w:p w14:paraId="22B824FA" w14:textId="77777777" w:rsidR="00425288" w:rsidRPr="00425288" w:rsidRDefault="00425288" w:rsidP="006846F7">
            <w:pPr>
              <w:pStyle w:val="aaa"/>
              <w:keepNext w:val="0"/>
              <w:numPr>
                <w:ilvl w:val="0"/>
                <w:numId w:val="0"/>
              </w:numPr>
              <w:spacing w:before="0" w:after="0" w:line="260" w:lineRule="exact"/>
              <w:ind w:left="1200" w:hanging="1200"/>
              <w:rPr>
                <w:lang w:eastAsia="en-GB"/>
              </w:rPr>
            </w:pPr>
            <w:r w:rsidRPr="00425288">
              <w:rPr>
                <w:lang w:eastAsia="en-GB"/>
              </w:rPr>
              <w:t xml:space="preserve">Autumn 2016 </w:t>
            </w:r>
          </w:p>
        </w:tc>
        <w:tc>
          <w:tcPr>
            <w:tcW w:w="6521" w:type="dxa"/>
            <w:shd w:val="clear" w:color="auto" w:fill="F2F2F2" w:themeFill="background1" w:themeFillShade="F2"/>
            <w:vAlign w:val="center"/>
          </w:tcPr>
          <w:p w14:paraId="0D6F6124" w14:textId="2F63FD0E" w:rsidR="00425288" w:rsidRPr="00425288" w:rsidRDefault="00425288" w:rsidP="006846F7">
            <w:pPr>
              <w:pStyle w:val="aaa"/>
              <w:keepNext w:val="0"/>
              <w:numPr>
                <w:ilvl w:val="0"/>
                <w:numId w:val="0"/>
              </w:numPr>
              <w:spacing w:before="0" w:after="0" w:line="260" w:lineRule="exact"/>
              <w:rPr>
                <w:lang w:eastAsia="en-GB"/>
              </w:rPr>
            </w:pPr>
            <w:r>
              <w:rPr>
                <w:lang w:eastAsia="en-GB"/>
              </w:rPr>
              <w:t>There will be a further, m</w:t>
            </w:r>
            <w:r w:rsidRPr="00425288">
              <w:rPr>
                <w:lang w:eastAsia="en-GB"/>
              </w:rPr>
              <w:t>ore technical</w:t>
            </w:r>
            <w:r>
              <w:rPr>
                <w:lang w:eastAsia="en-GB"/>
              </w:rPr>
              <w:t>,</w:t>
            </w:r>
            <w:r w:rsidRPr="00425288">
              <w:rPr>
                <w:lang w:eastAsia="en-GB"/>
              </w:rPr>
              <w:t xml:space="preserve"> consultation on specific </w:t>
            </w:r>
            <w:r>
              <w:rPr>
                <w:lang w:eastAsia="en-GB"/>
              </w:rPr>
              <w:t>workings of the reformed system.</w:t>
            </w:r>
          </w:p>
        </w:tc>
      </w:tr>
      <w:tr w:rsidR="00425288" w:rsidRPr="00425288" w14:paraId="73DDF153" w14:textId="77777777" w:rsidTr="006B783C">
        <w:trPr>
          <w:trHeight w:val="573"/>
        </w:trPr>
        <w:tc>
          <w:tcPr>
            <w:tcW w:w="2835" w:type="dxa"/>
            <w:shd w:val="clear" w:color="auto" w:fill="F2F2F2" w:themeFill="background1" w:themeFillShade="F2"/>
            <w:vAlign w:val="center"/>
          </w:tcPr>
          <w:p w14:paraId="47C4E9B4" w14:textId="77777777" w:rsidR="00425288" w:rsidRPr="00425288" w:rsidRDefault="00425288" w:rsidP="006846F7">
            <w:pPr>
              <w:pStyle w:val="aaa"/>
              <w:keepNext w:val="0"/>
              <w:numPr>
                <w:ilvl w:val="0"/>
                <w:numId w:val="0"/>
              </w:numPr>
              <w:spacing w:before="0" w:after="0" w:line="260" w:lineRule="exact"/>
              <w:ind w:left="1200" w:hanging="1200"/>
              <w:rPr>
                <w:lang w:eastAsia="en-GB"/>
              </w:rPr>
            </w:pPr>
            <w:r w:rsidRPr="00425288">
              <w:rPr>
                <w:lang w:eastAsia="en-GB"/>
              </w:rPr>
              <w:t xml:space="preserve">Early 2017 </w:t>
            </w:r>
          </w:p>
        </w:tc>
        <w:tc>
          <w:tcPr>
            <w:tcW w:w="6521" w:type="dxa"/>
            <w:shd w:val="clear" w:color="auto" w:fill="F2F2F2" w:themeFill="background1" w:themeFillShade="F2"/>
            <w:vAlign w:val="center"/>
          </w:tcPr>
          <w:p w14:paraId="6846815E" w14:textId="70964D82" w:rsidR="00425288" w:rsidRPr="00425288" w:rsidRDefault="00425288" w:rsidP="006846F7">
            <w:pPr>
              <w:pStyle w:val="aaa"/>
              <w:keepNext w:val="0"/>
              <w:numPr>
                <w:ilvl w:val="0"/>
                <w:numId w:val="0"/>
              </w:numPr>
              <w:spacing w:before="0" w:after="0" w:line="260" w:lineRule="exact"/>
              <w:rPr>
                <w:lang w:eastAsia="en-GB"/>
              </w:rPr>
            </w:pPr>
            <w:r w:rsidRPr="00425288">
              <w:rPr>
                <w:lang w:eastAsia="en-GB"/>
              </w:rPr>
              <w:t xml:space="preserve">As </w:t>
            </w:r>
            <w:r>
              <w:rPr>
                <w:lang w:eastAsia="en-GB"/>
              </w:rPr>
              <w:t xml:space="preserve">per </w:t>
            </w:r>
            <w:r w:rsidRPr="00425288">
              <w:rPr>
                <w:lang w:eastAsia="en-GB"/>
              </w:rPr>
              <w:t>the Queen’s Speech, the Government will introduce legislation in this Parliamentary session to provide the framework for the reforms</w:t>
            </w:r>
            <w:r>
              <w:rPr>
                <w:lang w:eastAsia="en-GB"/>
              </w:rPr>
              <w:t xml:space="preserve">; with the expectation that </w:t>
            </w:r>
            <w:r w:rsidRPr="00425288">
              <w:rPr>
                <w:lang w:eastAsia="en-GB"/>
              </w:rPr>
              <w:t xml:space="preserve">the legislation to be introduced later in the Parliamentary session. </w:t>
            </w:r>
          </w:p>
        </w:tc>
      </w:tr>
      <w:tr w:rsidR="00425288" w:rsidRPr="00425288" w14:paraId="71C5B6C0" w14:textId="77777777" w:rsidTr="006B783C">
        <w:trPr>
          <w:trHeight w:val="680"/>
        </w:trPr>
        <w:tc>
          <w:tcPr>
            <w:tcW w:w="2835" w:type="dxa"/>
            <w:shd w:val="clear" w:color="auto" w:fill="F2F2F2" w:themeFill="background1" w:themeFillShade="F2"/>
            <w:vAlign w:val="center"/>
          </w:tcPr>
          <w:p w14:paraId="247FF8DC" w14:textId="77777777" w:rsidR="00425288" w:rsidRPr="00425288" w:rsidRDefault="00425288" w:rsidP="006846F7">
            <w:pPr>
              <w:pStyle w:val="aaa"/>
              <w:keepNext w:val="0"/>
              <w:numPr>
                <w:ilvl w:val="0"/>
                <w:numId w:val="0"/>
              </w:numPr>
              <w:spacing w:before="0" w:after="0" w:line="260" w:lineRule="exact"/>
              <w:ind w:left="1200" w:hanging="1200"/>
              <w:rPr>
                <w:lang w:eastAsia="en-GB"/>
              </w:rPr>
            </w:pPr>
            <w:r w:rsidRPr="00425288">
              <w:rPr>
                <w:lang w:eastAsia="en-GB"/>
              </w:rPr>
              <w:t xml:space="preserve">April 2017 </w:t>
            </w:r>
          </w:p>
        </w:tc>
        <w:tc>
          <w:tcPr>
            <w:tcW w:w="6521" w:type="dxa"/>
            <w:shd w:val="clear" w:color="auto" w:fill="F2F2F2" w:themeFill="background1" w:themeFillShade="F2"/>
            <w:vAlign w:val="center"/>
          </w:tcPr>
          <w:p w14:paraId="5C7AE590" w14:textId="77777777" w:rsidR="00425288" w:rsidRPr="00425288" w:rsidRDefault="00425288" w:rsidP="006846F7">
            <w:pPr>
              <w:pStyle w:val="aaa"/>
              <w:keepNext w:val="0"/>
              <w:numPr>
                <w:ilvl w:val="0"/>
                <w:numId w:val="0"/>
              </w:numPr>
              <w:spacing w:before="0" w:after="0" w:line="260" w:lineRule="exact"/>
              <w:rPr>
                <w:lang w:eastAsia="en-GB"/>
              </w:rPr>
            </w:pPr>
            <w:r w:rsidRPr="00425288">
              <w:rPr>
                <w:lang w:eastAsia="en-GB"/>
              </w:rPr>
              <w:t xml:space="preserve">Piloting of the approach to 100% business rates retention to begin. </w:t>
            </w:r>
          </w:p>
        </w:tc>
      </w:tr>
      <w:tr w:rsidR="00425288" w:rsidRPr="00425288" w14:paraId="036E5F1C" w14:textId="77777777" w:rsidTr="006B783C">
        <w:trPr>
          <w:trHeight w:val="680"/>
        </w:trPr>
        <w:tc>
          <w:tcPr>
            <w:tcW w:w="2835" w:type="dxa"/>
            <w:shd w:val="clear" w:color="auto" w:fill="F2F2F2" w:themeFill="background1" w:themeFillShade="F2"/>
            <w:vAlign w:val="center"/>
          </w:tcPr>
          <w:p w14:paraId="4900E41A" w14:textId="77777777" w:rsidR="00425288" w:rsidRPr="00425288" w:rsidRDefault="00425288" w:rsidP="006846F7">
            <w:pPr>
              <w:pStyle w:val="aaa"/>
              <w:keepNext w:val="0"/>
              <w:numPr>
                <w:ilvl w:val="0"/>
                <w:numId w:val="0"/>
              </w:numPr>
              <w:spacing w:before="0" w:after="0" w:line="260" w:lineRule="exact"/>
              <w:ind w:left="1200" w:hanging="1200"/>
              <w:rPr>
                <w:lang w:eastAsia="en-GB"/>
              </w:rPr>
            </w:pPr>
            <w:r w:rsidRPr="00425288">
              <w:rPr>
                <w:lang w:eastAsia="en-GB"/>
              </w:rPr>
              <w:t xml:space="preserve">By end of the Parliament </w:t>
            </w:r>
          </w:p>
        </w:tc>
        <w:tc>
          <w:tcPr>
            <w:tcW w:w="6521" w:type="dxa"/>
            <w:shd w:val="clear" w:color="auto" w:fill="F2F2F2" w:themeFill="background1" w:themeFillShade="F2"/>
            <w:vAlign w:val="center"/>
          </w:tcPr>
          <w:p w14:paraId="423B9921" w14:textId="77777777" w:rsidR="00425288" w:rsidRPr="00425288" w:rsidRDefault="00425288" w:rsidP="006846F7">
            <w:pPr>
              <w:pStyle w:val="aaa"/>
              <w:keepNext w:val="0"/>
              <w:numPr>
                <w:ilvl w:val="0"/>
                <w:numId w:val="0"/>
              </w:numPr>
              <w:spacing w:before="0" w:after="0" w:line="260" w:lineRule="exact"/>
              <w:rPr>
                <w:lang w:eastAsia="en-GB"/>
              </w:rPr>
            </w:pPr>
            <w:r w:rsidRPr="00425288">
              <w:rPr>
                <w:lang w:eastAsia="en-GB"/>
              </w:rPr>
              <w:t xml:space="preserve">Implementation of 100% </w:t>
            </w:r>
          </w:p>
        </w:tc>
      </w:tr>
    </w:tbl>
    <w:p w14:paraId="6D785D7D" w14:textId="77777777" w:rsidR="00FF72F2" w:rsidRDefault="00FF72F2">
      <w:pPr>
        <w:spacing w:before="0" w:after="0" w:line="240" w:lineRule="auto"/>
        <w:rPr>
          <w:color w:val="0074E1"/>
          <w:kern w:val="32"/>
          <w:sz w:val="30"/>
          <w:szCs w:val="32"/>
        </w:rPr>
      </w:pPr>
    </w:p>
    <w:p w14:paraId="6F05215B" w14:textId="5F046960" w:rsidR="00C17172" w:rsidRPr="0071233A" w:rsidRDefault="00EA7747" w:rsidP="00FA7973">
      <w:pPr>
        <w:pStyle w:val="Level1"/>
        <w:keepNext w:val="0"/>
        <w:widowControl w:val="0"/>
      </w:pPr>
      <w:bookmarkStart w:id="12" w:name="_Toc457465057"/>
      <w:r>
        <w:lastRenderedPageBreak/>
        <w:t>Devolution of responsibilities</w:t>
      </w:r>
      <w:bookmarkEnd w:id="12"/>
    </w:p>
    <w:p w14:paraId="32E55DD1" w14:textId="7B61EC16" w:rsidR="00FF72F2" w:rsidRDefault="00522892" w:rsidP="00FA7973">
      <w:pPr>
        <w:pStyle w:val="Level2"/>
        <w:keepNext w:val="0"/>
        <w:widowControl w:val="0"/>
      </w:pPr>
      <w:r>
        <w:t xml:space="preserve">This </w:t>
      </w:r>
      <w:r w:rsidR="004B334E">
        <w:t xml:space="preserve">chapter </w:t>
      </w:r>
      <w:r w:rsidR="00993569">
        <w:t>of</w:t>
      </w:r>
      <w:r w:rsidR="004B334E">
        <w:t xml:space="preserve"> the paper considers the additional responsibilities that local government will take on alongside the additional 50% business rates income. </w:t>
      </w:r>
    </w:p>
    <w:p w14:paraId="7D03DAF2" w14:textId="0ADB57C5" w:rsidR="004B334E" w:rsidRDefault="004B334E" w:rsidP="00FE1E00">
      <w:pPr>
        <w:pStyle w:val="Level2"/>
        <w:keepNext w:val="0"/>
        <w:widowControl w:val="0"/>
      </w:pPr>
      <w:r>
        <w:t xml:space="preserve">The paper seeks views regarding which responsibilities should be transferred and how the system may differ in areas with combined authorities and devolution deals. </w:t>
      </w:r>
      <w:r w:rsidR="00FE1E00">
        <w:t xml:space="preserve"> It sets out the criteria that have been developed in assessing the suitability for transferring responsibilities; these being </w:t>
      </w:r>
      <w:r w:rsidR="0084030C">
        <w:t xml:space="preserve">that the </w:t>
      </w:r>
      <w:r w:rsidR="00FE1E00">
        <w:t>devolution of a responsibility should:</w:t>
      </w:r>
    </w:p>
    <w:p w14:paraId="63623A33" w14:textId="27D97CA0" w:rsidR="00FE1E00" w:rsidRDefault="0084030C" w:rsidP="00FE1E00">
      <w:pPr>
        <w:pStyle w:val="Style3"/>
      </w:pPr>
      <w:r>
        <w:t>B</w:t>
      </w:r>
      <w:r w:rsidR="00FE1E00">
        <w:t>uild on the strengths of local government</w:t>
      </w:r>
      <w:r w:rsidR="00D3233F">
        <w:t>.</w:t>
      </w:r>
    </w:p>
    <w:p w14:paraId="06CE74D4" w14:textId="5D8EBE2B" w:rsidR="00FE1E00" w:rsidRDefault="0084030C" w:rsidP="00FE1E00">
      <w:pPr>
        <w:pStyle w:val="Style3"/>
      </w:pPr>
      <w:r>
        <w:t>S</w:t>
      </w:r>
      <w:r w:rsidR="00FE1E00">
        <w:t>upport the drive for economic growth</w:t>
      </w:r>
      <w:r w:rsidR="00D3233F">
        <w:t>.</w:t>
      </w:r>
    </w:p>
    <w:p w14:paraId="359C4F16" w14:textId="482272BA" w:rsidR="00FE1E00" w:rsidRDefault="0084030C" w:rsidP="00FE1E00">
      <w:pPr>
        <w:pStyle w:val="Style3"/>
      </w:pPr>
      <w:r>
        <w:t>S</w:t>
      </w:r>
      <w:r w:rsidR="00FE1E00">
        <w:t>upport improved outcomes for service users or local people</w:t>
      </w:r>
      <w:r w:rsidR="00D3233F">
        <w:t>.</w:t>
      </w:r>
    </w:p>
    <w:p w14:paraId="611370D1" w14:textId="6C98341E" w:rsidR="00FE1E00" w:rsidRDefault="0084030C" w:rsidP="00FE1E00">
      <w:pPr>
        <w:pStyle w:val="Style3"/>
      </w:pPr>
      <w:r>
        <w:t>B</w:t>
      </w:r>
      <w:r w:rsidR="00FE1E00">
        <w:t>e made with consideration for the medium-term financial impact on local government</w:t>
      </w:r>
      <w:r w:rsidR="00D3233F">
        <w:t>.</w:t>
      </w:r>
    </w:p>
    <w:p w14:paraId="2E1F2CBB" w14:textId="5E2F5F80" w:rsidR="004B334E" w:rsidRDefault="0084030C" w:rsidP="00FA7973">
      <w:pPr>
        <w:pStyle w:val="Level2"/>
        <w:keepNext w:val="0"/>
        <w:widowControl w:val="0"/>
      </w:pPr>
      <w:r>
        <w:t>The paper indicates that t</w:t>
      </w:r>
      <w:r w:rsidR="00FE1E00">
        <w:t xml:space="preserve">hese criteria are meant as a guide only and it is not necessary for </w:t>
      </w:r>
      <w:r>
        <w:t>the transfer of a responsibility</w:t>
      </w:r>
      <w:r w:rsidR="00FE1E00">
        <w:t xml:space="preserve"> to meet each of the</w:t>
      </w:r>
      <w:r>
        <w:t xml:space="preserve"> criteria outlined</w:t>
      </w:r>
      <w:r w:rsidR="00FE1E00">
        <w:t xml:space="preserve">. </w:t>
      </w:r>
    </w:p>
    <w:p w14:paraId="7443B299" w14:textId="09A366FB" w:rsidR="00FE1E00" w:rsidRDefault="0084030C" w:rsidP="00FA7973">
      <w:pPr>
        <w:pStyle w:val="Level2"/>
        <w:keepNext w:val="0"/>
        <w:widowControl w:val="0"/>
      </w:pPr>
      <w:r>
        <w:t xml:space="preserve">Each </w:t>
      </w:r>
      <w:r w:rsidR="00FE1E00">
        <w:t xml:space="preserve">criteria has </w:t>
      </w:r>
      <w:r>
        <w:t xml:space="preserve">a number of </w:t>
      </w:r>
      <w:r w:rsidR="00FE1E00">
        <w:t xml:space="preserve">sub headings </w:t>
      </w:r>
      <w:r>
        <w:t xml:space="preserve">and </w:t>
      </w:r>
      <w:r w:rsidR="00FE1E00">
        <w:t xml:space="preserve">those of particular </w:t>
      </w:r>
      <w:r>
        <w:t>importance include</w:t>
      </w:r>
      <w:r w:rsidR="00FE1E00">
        <w:t>:</w:t>
      </w:r>
    </w:p>
    <w:p w14:paraId="1AEF19FB" w14:textId="32B50750" w:rsidR="00FE1E00" w:rsidRDefault="00FE1E00" w:rsidP="0029302E">
      <w:pPr>
        <w:pStyle w:val="Style3"/>
      </w:pPr>
      <w:r>
        <w:t>There should be an appetite from local government for the responsibility to be delivered at a local level</w:t>
      </w:r>
      <w:r w:rsidR="00D3233F">
        <w:t>.  H</w:t>
      </w:r>
      <w:r>
        <w:t xml:space="preserve">opefully this could mean an unwanted responsibility could not be forced on. </w:t>
      </w:r>
    </w:p>
    <w:p w14:paraId="7ECEBA2B" w14:textId="73545E25" w:rsidR="00FE1E00" w:rsidRDefault="0029302E" w:rsidP="0029302E">
      <w:pPr>
        <w:pStyle w:val="Style3"/>
      </w:pPr>
      <w:r>
        <w:t>The national cost and demand for any new responsibility should be relatively predictable and stable over time, relative to the business rates funding stream.</w:t>
      </w:r>
    </w:p>
    <w:p w14:paraId="75B31C5F" w14:textId="4165C600" w:rsidR="0029302E" w:rsidRDefault="0029302E" w:rsidP="0029302E">
      <w:pPr>
        <w:pStyle w:val="Style3"/>
      </w:pPr>
      <w:r>
        <w:t xml:space="preserve">The </w:t>
      </w:r>
      <w:r w:rsidR="00D3233F">
        <w:t xml:space="preserve">distribution of </w:t>
      </w:r>
      <w:r>
        <w:t xml:space="preserve">funding between local authorities should be relatively stable over time.  </w:t>
      </w:r>
    </w:p>
    <w:p w14:paraId="487CDC71" w14:textId="1EDEF997" w:rsidR="00FE1E00" w:rsidRDefault="0029302E" w:rsidP="00FA7973">
      <w:pPr>
        <w:pStyle w:val="Level2"/>
        <w:keepNext w:val="0"/>
        <w:widowControl w:val="0"/>
      </w:pPr>
      <w:r>
        <w:t xml:space="preserve">These last two sub criteria are </w:t>
      </w:r>
      <w:r w:rsidR="00D3233F">
        <w:t>important</w:t>
      </w:r>
      <w:r>
        <w:t xml:space="preserve"> in ensuring 100% BRR would be fiscally neutral to local government.  </w:t>
      </w:r>
      <w:r w:rsidR="0084030C">
        <w:t>However</w:t>
      </w:r>
      <w:r>
        <w:t xml:space="preserve"> the extent to which a funding stream is suitable</w:t>
      </w:r>
      <w:r w:rsidR="00D3233F">
        <w:t xml:space="preserve"> to be financed by 100% BRR, </w:t>
      </w:r>
      <w:r>
        <w:t>based on these criteria</w:t>
      </w:r>
      <w:r w:rsidR="00D3233F">
        <w:t>,</w:t>
      </w:r>
      <w:r>
        <w:t xml:space="preserve"> </w:t>
      </w:r>
      <w:proofErr w:type="gramStart"/>
      <w:r>
        <w:t>is</w:t>
      </w:r>
      <w:proofErr w:type="gramEnd"/>
      <w:r>
        <w:t xml:space="preserve"> subjective. For example, within the current 50% BRR is Localised </w:t>
      </w:r>
      <w:r w:rsidR="00D3233F">
        <w:t xml:space="preserve">Support for Council tax funding which has costs closely linked </w:t>
      </w:r>
      <w:r>
        <w:t xml:space="preserve">to the economic prosperity of the national and local economy.  </w:t>
      </w:r>
    </w:p>
    <w:p w14:paraId="05E6103A" w14:textId="050DABA5" w:rsidR="0029302E" w:rsidRDefault="0029302E" w:rsidP="0029302E">
      <w:pPr>
        <w:pStyle w:val="Level2"/>
        <w:keepNext w:val="0"/>
        <w:widowControl w:val="0"/>
      </w:pPr>
      <w:r>
        <w:t>A list of responsibilities have been identified as a possible fit against the criteria</w:t>
      </w:r>
      <w:r w:rsidR="00266204">
        <w:t>; these are set out below</w:t>
      </w:r>
      <w:r>
        <w:t xml:space="preserve">.  This list is not meant to be exhaustive, but rather the starting point for debate.  </w:t>
      </w:r>
    </w:p>
    <w:p w14:paraId="424DDACA" w14:textId="77777777" w:rsidR="00266204" w:rsidRDefault="00266204" w:rsidP="00266204">
      <w:pPr>
        <w:pStyle w:val="Style15"/>
        <w:rPr>
          <w:lang w:eastAsia="en-GB"/>
        </w:rPr>
      </w:pPr>
      <w:r w:rsidRPr="00266204">
        <w:rPr>
          <w:lang w:eastAsia="en-GB"/>
        </w:rPr>
        <w:t xml:space="preserve">Revenue Support Grant </w:t>
      </w:r>
    </w:p>
    <w:p w14:paraId="753B4484" w14:textId="3FCF4FA6" w:rsidR="00266204" w:rsidRDefault="00266204" w:rsidP="00266204">
      <w:pPr>
        <w:pStyle w:val="Style15"/>
        <w:rPr>
          <w:lang w:eastAsia="en-GB"/>
        </w:rPr>
      </w:pPr>
      <w:r w:rsidRPr="00266204">
        <w:rPr>
          <w:lang w:eastAsia="en-GB"/>
        </w:rPr>
        <w:t>Rural Services Delivery Grant</w:t>
      </w:r>
    </w:p>
    <w:p w14:paraId="0F2F6C19" w14:textId="2217AFAE" w:rsidR="00266204" w:rsidRDefault="00266204" w:rsidP="00266204">
      <w:pPr>
        <w:pStyle w:val="Style15"/>
        <w:rPr>
          <w:lang w:eastAsia="en-GB"/>
        </w:rPr>
      </w:pPr>
      <w:r w:rsidRPr="00266204">
        <w:rPr>
          <w:lang w:eastAsia="en-GB"/>
        </w:rPr>
        <w:t>Greater London Authority Transport Grant</w:t>
      </w:r>
    </w:p>
    <w:p w14:paraId="01BB678D" w14:textId="1DE8DEA1" w:rsidR="00266204" w:rsidRDefault="00266204" w:rsidP="00266204">
      <w:pPr>
        <w:pStyle w:val="Style15"/>
        <w:rPr>
          <w:lang w:eastAsia="en-GB"/>
        </w:rPr>
      </w:pPr>
      <w:r w:rsidRPr="00266204">
        <w:rPr>
          <w:lang w:eastAsia="en-GB"/>
        </w:rPr>
        <w:t>Public Health Grant</w:t>
      </w:r>
    </w:p>
    <w:p w14:paraId="44413261" w14:textId="77777777" w:rsidR="00266204" w:rsidRDefault="00266204" w:rsidP="00266204">
      <w:pPr>
        <w:pStyle w:val="Style15"/>
        <w:rPr>
          <w:lang w:eastAsia="en-GB"/>
        </w:rPr>
      </w:pPr>
      <w:r w:rsidRPr="00266204">
        <w:rPr>
          <w:lang w:eastAsia="en-GB"/>
        </w:rPr>
        <w:t xml:space="preserve">Improved Better Care Fund </w:t>
      </w:r>
    </w:p>
    <w:p w14:paraId="0AF773A4" w14:textId="77777777" w:rsidR="00266204" w:rsidRDefault="00266204" w:rsidP="00266204">
      <w:pPr>
        <w:pStyle w:val="Style15"/>
        <w:rPr>
          <w:lang w:eastAsia="en-GB"/>
        </w:rPr>
      </w:pPr>
      <w:r w:rsidRPr="00266204">
        <w:rPr>
          <w:lang w:eastAsia="en-GB"/>
        </w:rPr>
        <w:t xml:space="preserve">Independent Living Fund </w:t>
      </w:r>
    </w:p>
    <w:p w14:paraId="19961DC9" w14:textId="77777777" w:rsidR="00266204" w:rsidRDefault="00266204" w:rsidP="00266204">
      <w:pPr>
        <w:pStyle w:val="Style15"/>
        <w:rPr>
          <w:lang w:eastAsia="en-GB"/>
        </w:rPr>
      </w:pPr>
      <w:r w:rsidRPr="00266204">
        <w:rPr>
          <w:lang w:eastAsia="en-GB"/>
        </w:rPr>
        <w:t xml:space="preserve">Early Years </w:t>
      </w:r>
    </w:p>
    <w:p w14:paraId="09B18847" w14:textId="2F016F5A" w:rsidR="00266204" w:rsidRDefault="00266204" w:rsidP="00266204">
      <w:pPr>
        <w:pStyle w:val="Style15"/>
        <w:rPr>
          <w:lang w:eastAsia="en-GB"/>
        </w:rPr>
      </w:pPr>
      <w:r w:rsidRPr="00266204">
        <w:rPr>
          <w:lang w:eastAsia="en-GB"/>
        </w:rPr>
        <w:t>Youth Justice</w:t>
      </w:r>
    </w:p>
    <w:p w14:paraId="5402D9A6" w14:textId="77777777" w:rsidR="00266204" w:rsidRDefault="00266204" w:rsidP="00266204">
      <w:pPr>
        <w:pStyle w:val="Style15"/>
        <w:rPr>
          <w:lang w:eastAsia="en-GB"/>
        </w:rPr>
      </w:pPr>
      <w:r w:rsidRPr="00266204">
        <w:rPr>
          <w:lang w:eastAsia="en-GB"/>
        </w:rPr>
        <w:t xml:space="preserve">Local Council Tax Support Administration Subsidy </w:t>
      </w:r>
    </w:p>
    <w:p w14:paraId="6519A689" w14:textId="0C649E22" w:rsidR="00266204" w:rsidRDefault="00266204" w:rsidP="00266204">
      <w:pPr>
        <w:pStyle w:val="Style15"/>
        <w:rPr>
          <w:lang w:eastAsia="en-GB"/>
        </w:rPr>
      </w:pPr>
      <w:r w:rsidRPr="00266204">
        <w:rPr>
          <w:lang w:eastAsia="en-GB"/>
        </w:rPr>
        <w:lastRenderedPageBreak/>
        <w:t>Housing Benefit Pensioner Administration Subsidy</w:t>
      </w:r>
    </w:p>
    <w:p w14:paraId="250426A3" w14:textId="39C3D3DA" w:rsidR="00266204" w:rsidRDefault="00266204" w:rsidP="00266204">
      <w:pPr>
        <w:pStyle w:val="Style15"/>
      </w:pPr>
      <w:r w:rsidRPr="00266204">
        <w:rPr>
          <w:lang w:eastAsia="en-GB"/>
        </w:rPr>
        <w:t>Attendance Allowance</w:t>
      </w:r>
    </w:p>
    <w:tbl>
      <w:tblPr>
        <w:tblStyle w:val="TableGrid"/>
        <w:tblW w:w="0" w:type="auto"/>
        <w:tblInd w:w="11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9316"/>
      </w:tblGrid>
      <w:tr w:rsidR="00C61BCE" w:rsidRPr="00F65D14" w14:paraId="38B8B08F" w14:textId="77777777" w:rsidTr="006B783C">
        <w:tc>
          <w:tcPr>
            <w:tcW w:w="9316" w:type="dxa"/>
            <w:shd w:val="clear" w:color="auto" w:fill="F2F2F2" w:themeFill="background1" w:themeFillShade="F2"/>
          </w:tcPr>
          <w:p w14:paraId="2E5973B5" w14:textId="77777777" w:rsidR="00C61BCE" w:rsidRPr="00F65D14" w:rsidRDefault="00C61BCE" w:rsidP="00FA797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1: Which of these identified grants / responsibilities do you think are the best candidates to be funded from retained business rates?</w:t>
            </w:r>
          </w:p>
        </w:tc>
      </w:tr>
      <w:tr w:rsidR="00C61BCE" w:rsidRPr="00F65D14" w14:paraId="3F9F779E" w14:textId="77777777" w:rsidTr="006B783C">
        <w:tc>
          <w:tcPr>
            <w:tcW w:w="9316" w:type="dxa"/>
            <w:shd w:val="clear" w:color="auto" w:fill="F2F2F2" w:themeFill="background1" w:themeFillShade="F2"/>
          </w:tcPr>
          <w:p w14:paraId="205A3492" w14:textId="77777777" w:rsidR="00C61BCE" w:rsidRPr="00F65D14" w:rsidRDefault="00C61BCE" w:rsidP="00FA797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2: Are there other grants / responsibilities that you consider should be devolved instead of or alongside those identified above?</w:t>
            </w:r>
          </w:p>
        </w:tc>
      </w:tr>
      <w:tr w:rsidR="001D3CEE" w:rsidRPr="00F65D14" w14:paraId="3CC2C89E" w14:textId="77777777" w:rsidTr="001D3CEE">
        <w:tc>
          <w:tcPr>
            <w:tcW w:w="9316" w:type="dxa"/>
            <w:shd w:val="clear" w:color="auto" w:fill="DBE5F1" w:themeFill="accent1" w:themeFillTint="33"/>
          </w:tcPr>
          <w:p w14:paraId="405DA372" w14:textId="0ECFA604" w:rsidR="001D3CEE" w:rsidRPr="00177C42" w:rsidRDefault="00177C42" w:rsidP="001D3CEE">
            <w:pPr>
              <w:pStyle w:val="aaa"/>
              <w:numPr>
                <w:ilvl w:val="0"/>
                <w:numId w:val="0"/>
              </w:numPr>
              <w:rPr>
                <w:b/>
                <w:lang w:eastAsia="en-GB"/>
              </w:rPr>
            </w:pPr>
            <w:r w:rsidRPr="00177C42">
              <w:rPr>
                <w:b/>
                <w:lang w:eastAsia="en-GB"/>
              </w:rPr>
              <w:t>Potential</w:t>
            </w:r>
            <w:r w:rsidR="001D3CEE" w:rsidRPr="00177C42">
              <w:rPr>
                <w:b/>
                <w:lang w:eastAsia="en-GB"/>
              </w:rPr>
              <w:t xml:space="preserve"> view of SDCT</w:t>
            </w:r>
          </w:p>
          <w:p w14:paraId="33B407A4" w14:textId="1A213B04" w:rsidR="00600ED9" w:rsidRDefault="00600ED9" w:rsidP="00600ED9">
            <w:pPr>
              <w:pStyle w:val="SDCTview"/>
            </w:pPr>
            <w:r>
              <w:t xml:space="preserve">Whilst individual authorities may have their own view on the suitability of certain funding streams, the principle </w:t>
            </w:r>
            <w:r w:rsidR="00993569">
              <w:t>of how they are rolled in is</w:t>
            </w:r>
            <w:r>
              <w:t xml:space="preserve"> more important.  The need for transparency regarding the amounts rolled in and future years’ assumptions regarding these amounts will be critical.  </w:t>
            </w:r>
          </w:p>
          <w:p w14:paraId="409F5D15" w14:textId="07E1D8B4" w:rsidR="001D3CEE" w:rsidRPr="00F65D14" w:rsidRDefault="00600ED9" w:rsidP="00600ED9">
            <w:pPr>
              <w:pStyle w:val="SDCTview"/>
            </w:pPr>
            <w:r>
              <w:t>For example, in 2013/14 a number of grants were rolled into the Settlement Funding Assessment</w:t>
            </w:r>
            <w:r w:rsidR="00993569">
              <w:t>,</w:t>
            </w:r>
            <w:r>
              <w:t xml:space="preserve"> including localised support for council tax.  However, in subsequent years, the reductions in local government funding reduced the SFA amount, and with it, elements of the grants rolled in. </w:t>
            </w:r>
            <w:r w:rsidR="001D3CEE">
              <w:t xml:space="preserve">  </w:t>
            </w:r>
          </w:p>
        </w:tc>
      </w:tr>
    </w:tbl>
    <w:p w14:paraId="3A88EC1D" w14:textId="01B5751D" w:rsidR="00C61BCE" w:rsidRDefault="001710D0" w:rsidP="00FA7973">
      <w:pPr>
        <w:pStyle w:val="aaa"/>
        <w:keepNext w:val="0"/>
        <w:widowControl w:val="0"/>
      </w:pPr>
      <w:r>
        <w:t>In addition to the funding streams above there are further funding streams that may be suitable which form part of agreed devolution deals. The paper lists these functions and which are pooled at a Combined Authority level, these being:</w:t>
      </w:r>
    </w:p>
    <w:p w14:paraId="23C618E3" w14:textId="1161684E" w:rsidR="001710D0" w:rsidRDefault="001710D0" w:rsidP="001710D0">
      <w:pPr>
        <w:pStyle w:val="Style15"/>
      </w:pPr>
      <w:r>
        <w:t>Investment funds for devolution deals</w:t>
      </w:r>
    </w:p>
    <w:p w14:paraId="13B7E88F" w14:textId="4B944B34" w:rsidR="001710D0" w:rsidRDefault="001710D0" w:rsidP="001710D0">
      <w:pPr>
        <w:pStyle w:val="Style15"/>
      </w:pPr>
      <w:r>
        <w:t>Adult Education Budgets</w:t>
      </w:r>
    </w:p>
    <w:p w14:paraId="16CFBFB1" w14:textId="79B59314" w:rsidR="001710D0" w:rsidRDefault="001710D0" w:rsidP="001710D0">
      <w:pPr>
        <w:pStyle w:val="Style15"/>
      </w:pPr>
      <w:r>
        <w:t>Transport Capital Grants</w:t>
      </w:r>
    </w:p>
    <w:p w14:paraId="1C0B5481" w14:textId="1AA63258" w:rsidR="001710D0" w:rsidRDefault="001710D0" w:rsidP="001710D0">
      <w:pPr>
        <w:pStyle w:val="Style15"/>
      </w:pPr>
      <w:r>
        <w:t>Local Growth Fund</w:t>
      </w:r>
    </w:p>
    <w:tbl>
      <w:tblPr>
        <w:tblStyle w:val="TableGrid"/>
        <w:tblW w:w="0" w:type="auto"/>
        <w:tblInd w:w="11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9316"/>
      </w:tblGrid>
      <w:tr w:rsidR="00C61BCE" w:rsidRPr="00F65D14" w14:paraId="5932A9D3" w14:textId="77777777" w:rsidTr="006B783C">
        <w:tc>
          <w:tcPr>
            <w:tcW w:w="9316" w:type="dxa"/>
            <w:shd w:val="clear" w:color="auto" w:fill="F2F2F2" w:themeFill="background1" w:themeFillShade="F2"/>
          </w:tcPr>
          <w:p w14:paraId="63BCB32D" w14:textId="77777777" w:rsidR="00C61BCE" w:rsidRPr="00F65D14" w:rsidRDefault="00C61BCE" w:rsidP="00FA797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3: Do you have any views on the range of associated budgets that could be pooled at the Combined Authority level?</w:t>
            </w:r>
          </w:p>
        </w:tc>
      </w:tr>
      <w:tr w:rsidR="00C61BCE" w:rsidRPr="00F65D14" w14:paraId="1DF8B60A" w14:textId="77777777" w:rsidTr="006B783C">
        <w:tc>
          <w:tcPr>
            <w:tcW w:w="9316" w:type="dxa"/>
            <w:shd w:val="clear" w:color="auto" w:fill="F2F2F2" w:themeFill="background1" w:themeFillShade="F2"/>
          </w:tcPr>
          <w:p w14:paraId="07A9F3C0" w14:textId="77777777" w:rsidR="00C61BCE" w:rsidRPr="00F65D14" w:rsidRDefault="00C61BCE" w:rsidP="00FA797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4: Do you have views on whether some or all of the commitments in existing and future deals could be funded through retained business rates?</w:t>
            </w:r>
          </w:p>
        </w:tc>
      </w:tr>
      <w:tr w:rsidR="00177C42" w:rsidRPr="00F65D14" w14:paraId="30F3BBDC" w14:textId="77777777" w:rsidTr="00177C42">
        <w:tc>
          <w:tcPr>
            <w:tcW w:w="9316" w:type="dxa"/>
            <w:shd w:val="clear" w:color="auto" w:fill="DBE5F1" w:themeFill="accent1" w:themeFillTint="33"/>
          </w:tcPr>
          <w:p w14:paraId="25598B6E" w14:textId="77777777" w:rsidR="00177C42" w:rsidRPr="00177C42" w:rsidRDefault="00177C42" w:rsidP="00177C42">
            <w:pPr>
              <w:pStyle w:val="aaa"/>
              <w:numPr>
                <w:ilvl w:val="0"/>
                <w:numId w:val="0"/>
              </w:numPr>
              <w:rPr>
                <w:b/>
                <w:lang w:eastAsia="en-GB"/>
              </w:rPr>
            </w:pPr>
            <w:r w:rsidRPr="00177C42">
              <w:rPr>
                <w:b/>
                <w:lang w:eastAsia="en-GB"/>
              </w:rPr>
              <w:t>Potential view of SDCT</w:t>
            </w:r>
          </w:p>
          <w:p w14:paraId="205D28D2" w14:textId="7E433978" w:rsidR="00177C42" w:rsidRPr="00600ED9" w:rsidRDefault="005B060A" w:rsidP="005B060A">
            <w:pPr>
              <w:pStyle w:val="SDCTview"/>
              <w:rPr>
                <w:rFonts w:cs="Arial"/>
                <w:bCs/>
                <w:i/>
                <w:iCs/>
                <w:color w:val="000000"/>
                <w:szCs w:val="22"/>
              </w:rPr>
            </w:pPr>
            <w:r w:rsidRPr="00600ED9">
              <w:rPr>
                <w:i/>
              </w:rPr>
              <w:t xml:space="preserve">With the different deals and local arrangements in </w:t>
            </w:r>
            <w:r w:rsidR="00600ED9" w:rsidRPr="00600ED9">
              <w:rPr>
                <w:i/>
              </w:rPr>
              <w:t>p</w:t>
            </w:r>
            <w:r w:rsidRPr="00600ED9">
              <w:rPr>
                <w:i/>
              </w:rPr>
              <w:t>lace / being negotiated</w:t>
            </w:r>
            <w:r w:rsidR="00993569">
              <w:rPr>
                <w:i/>
              </w:rPr>
              <w:t>,</w:t>
            </w:r>
            <w:r w:rsidRPr="00600ED9">
              <w:rPr>
                <w:i/>
              </w:rPr>
              <w:t xml:space="preserve"> this is an area that will vary across districts / areas.  </w:t>
            </w:r>
          </w:p>
        </w:tc>
      </w:tr>
    </w:tbl>
    <w:p w14:paraId="7950C7E5" w14:textId="1AB2A3B0" w:rsidR="00C61BCE" w:rsidRDefault="006B783C" w:rsidP="00FA7973">
      <w:pPr>
        <w:pStyle w:val="aaa"/>
        <w:keepNext w:val="0"/>
        <w:widowControl w:val="0"/>
      </w:pPr>
      <w:r>
        <w:t xml:space="preserve">Under the new burdens doctrine additional responsibilities given to local government are funded either through Revenue Support Grant or Section 31 grant.  Government propose to continue </w:t>
      </w:r>
      <w:r>
        <w:lastRenderedPageBreak/>
        <w:t xml:space="preserve">with the use of Section 31 grant for any further new burdens post 100% BRR.  </w:t>
      </w:r>
    </w:p>
    <w:tbl>
      <w:tblPr>
        <w:tblStyle w:val="TableGrid"/>
        <w:tblW w:w="0" w:type="auto"/>
        <w:tblInd w:w="11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9316"/>
      </w:tblGrid>
      <w:tr w:rsidR="00C61BCE" w:rsidRPr="00F65D14" w14:paraId="7BEC0B48" w14:textId="77777777" w:rsidTr="006B783C">
        <w:tc>
          <w:tcPr>
            <w:tcW w:w="9316" w:type="dxa"/>
            <w:shd w:val="clear" w:color="auto" w:fill="F2F2F2" w:themeFill="background1" w:themeFillShade="F2"/>
          </w:tcPr>
          <w:p w14:paraId="696C5454" w14:textId="416D9080" w:rsidR="00C61BCE" w:rsidRPr="00F65D14" w:rsidRDefault="00C61BCE">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5: Do you agree that we should continue with the new burdens doctrine post-2020?</w:t>
            </w:r>
          </w:p>
        </w:tc>
      </w:tr>
      <w:tr w:rsidR="00177C42" w:rsidRPr="00F65D14" w14:paraId="78B86A80" w14:textId="77777777" w:rsidTr="00177C42">
        <w:tc>
          <w:tcPr>
            <w:tcW w:w="9316" w:type="dxa"/>
            <w:shd w:val="clear" w:color="auto" w:fill="DBE5F1" w:themeFill="accent1" w:themeFillTint="33"/>
          </w:tcPr>
          <w:p w14:paraId="39176F90" w14:textId="2C9E64D2" w:rsidR="00177C42" w:rsidRDefault="00177C42" w:rsidP="00177C42">
            <w:pPr>
              <w:widowControl w:val="0"/>
              <w:autoSpaceDE w:val="0"/>
              <w:autoSpaceDN w:val="0"/>
              <w:adjustRightInd w:val="0"/>
              <w:spacing w:before="240" w:after="240" w:line="240" w:lineRule="auto"/>
              <w:rPr>
                <w:b/>
                <w:lang w:eastAsia="en-GB"/>
              </w:rPr>
            </w:pPr>
            <w:r w:rsidRPr="00BE51AF">
              <w:rPr>
                <w:b/>
                <w:lang w:eastAsia="en-GB"/>
              </w:rPr>
              <w:t>Potential view of SDCT</w:t>
            </w:r>
          </w:p>
          <w:p w14:paraId="76BEDF42" w14:textId="77777777" w:rsidR="00600ED9" w:rsidRDefault="00600ED9" w:rsidP="00600ED9">
            <w:pPr>
              <w:pStyle w:val="SDCTview"/>
            </w:pPr>
            <w:r>
              <w:t xml:space="preserve">Whilst the New Burdens Doctrine is essential in ensuring services transferring to local government are accompanied by sufficient funding, the determination of the initial and future funding levels is key.  </w:t>
            </w:r>
          </w:p>
          <w:p w14:paraId="1387D520" w14:textId="5BB091BF" w:rsidR="00600ED9" w:rsidRDefault="00600ED9" w:rsidP="00600ED9">
            <w:pPr>
              <w:pStyle w:val="SDCTview"/>
            </w:pPr>
            <w:r>
              <w:t xml:space="preserve">To date, the Section 31 Grant issued to compensate for changes affecting business rates income (e.g. 100% Small Business Rate Relief and the cap on the multiplier) has been fair.  </w:t>
            </w:r>
            <w:r w:rsidR="00993569">
              <w:t>Although, t</w:t>
            </w:r>
            <w:r>
              <w:t>he objective way in which the amounts could be calculated has been a contributo</w:t>
            </w:r>
            <w:r w:rsidR="00993569">
              <w:t>ry factor in allowing the grant</w:t>
            </w:r>
            <w:r>
              <w:t xml:space="preserve"> to be determined with little dispute. </w:t>
            </w:r>
          </w:p>
          <w:p w14:paraId="5D07E0B3" w14:textId="77777777" w:rsidR="00600ED9" w:rsidRDefault="00600ED9" w:rsidP="00600ED9">
            <w:pPr>
              <w:pStyle w:val="SDCTview"/>
            </w:pPr>
            <w:r>
              <w:t xml:space="preserve">Where new responsibilities are passed over the local government, the nature of these responsibilities and the costs associated need to be fully funded and calculated in a transparent manner.  </w:t>
            </w:r>
          </w:p>
          <w:p w14:paraId="39EA9DE7" w14:textId="12441616" w:rsidR="00622176" w:rsidRPr="00F65D14" w:rsidRDefault="00600ED9" w:rsidP="00600ED9">
            <w:pPr>
              <w:pStyle w:val="SDCTview"/>
            </w:pPr>
            <w:r>
              <w:t>Where central government policy is seeking to change the nature of these responsibilities, the problem of how the changes are implemented should not be the problem of local government.  For example, the transfer of the localised support for council tax required local government to make changes to the existing scheme in order to make up the shortfall in funding that was passed from central to local government.</w:t>
            </w:r>
          </w:p>
        </w:tc>
      </w:tr>
    </w:tbl>
    <w:p w14:paraId="3FF50F09" w14:textId="414DDC6D" w:rsidR="00EA7747" w:rsidRDefault="00EA7747" w:rsidP="00FA7973">
      <w:pPr>
        <w:widowControl w:val="0"/>
        <w:spacing w:before="0" w:after="0" w:line="240" w:lineRule="auto"/>
      </w:pPr>
    </w:p>
    <w:p w14:paraId="7BDF51B1" w14:textId="77777777" w:rsidR="00C61BCE" w:rsidRDefault="00C61BCE" w:rsidP="006B783C">
      <w:pPr>
        <w:pStyle w:val="aaa"/>
        <w:keepNext w:val="0"/>
        <w:widowControl w:val="0"/>
        <w:numPr>
          <w:ilvl w:val="0"/>
          <w:numId w:val="0"/>
        </w:numPr>
        <w:ind w:left="1200"/>
      </w:pPr>
    </w:p>
    <w:p w14:paraId="787A6F5F" w14:textId="77777777" w:rsidR="00B70A7B" w:rsidRDefault="00B70A7B" w:rsidP="00FA7973">
      <w:pPr>
        <w:widowControl w:val="0"/>
        <w:spacing w:before="0" w:after="0" w:line="240" w:lineRule="auto"/>
        <w:rPr>
          <w:color w:val="0074E1"/>
          <w:kern w:val="32"/>
          <w:sz w:val="30"/>
          <w:szCs w:val="32"/>
        </w:rPr>
      </w:pPr>
      <w:r>
        <w:br w:type="page"/>
      </w:r>
    </w:p>
    <w:p w14:paraId="0277C494" w14:textId="34DF6034" w:rsidR="00F65D14" w:rsidRDefault="00EA7747" w:rsidP="00FA7973">
      <w:pPr>
        <w:pStyle w:val="Level1"/>
        <w:keepNext w:val="0"/>
        <w:widowControl w:val="0"/>
      </w:pPr>
      <w:bookmarkStart w:id="13" w:name="_Toc457465058"/>
      <w:r>
        <w:lastRenderedPageBreak/>
        <w:t>The business rates system</w:t>
      </w:r>
      <w:bookmarkEnd w:id="13"/>
    </w:p>
    <w:p w14:paraId="3B757F1B" w14:textId="79A4FF77" w:rsidR="00F65D14" w:rsidRDefault="00891A43" w:rsidP="00FA7973">
      <w:pPr>
        <w:pStyle w:val="Level2"/>
        <w:keepNext w:val="0"/>
        <w:widowControl w:val="0"/>
      </w:pPr>
      <w:r>
        <w:t>This chapte</w:t>
      </w:r>
      <w:r w:rsidR="00C16649">
        <w:t xml:space="preserve">r of the paper considers: </w:t>
      </w:r>
      <w:r>
        <w:t>res</w:t>
      </w:r>
      <w:r w:rsidR="00C16649">
        <w:t>e</w:t>
      </w:r>
      <w:r>
        <w:t>t</w:t>
      </w:r>
      <w:r w:rsidR="00C16649">
        <w:t>s</w:t>
      </w:r>
      <w:r>
        <w:t xml:space="preserve">, the treatment of Combined Authorities and Mayoral areas, how risk is to be managed and the operation of the safety net. </w:t>
      </w:r>
    </w:p>
    <w:p w14:paraId="12AAA127" w14:textId="434CF47C" w:rsidR="00A817F2" w:rsidRDefault="00A817F2" w:rsidP="00A817F2">
      <w:pPr>
        <w:pStyle w:val="Heading3"/>
      </w:pPr>
      <w:r>
        <w:t>Reset</w:t>
      </w:r>
      <w:r w:rsidR="00C16649">
        <w:t>s</w:t>
      </w:r>
    </w:p>
    <w:p w14:paraId="6ADC03AB" w14:textId="3FA3A194" w:rsidR="00891A43" w:rsidRDefault="00891A43" w:rsidP="00FA7973">
      <w:pPr>
        <w:pStyle w:val="Level2"/>
        <w:keepNext w:val="0"/>
        <w:widowControl w:val="0"/>
      </w:pPr>
      <w:r>
        <w:t xml:space="preserve">It is the view of the government that a fixed period for resetting the system (i.e. adjusting </w:t>
      </w:r>
      <w:r w:rsidR="00825264">
        <w:t xml:space="preserve">local </w:t>
      </w:r>
      <w:r w:rsidR="00D3233F">
        <w:t>Business R</w:t>
      </w:r>
      <w:r w:rsidR="00825264">
        <w:t xml:space="preserve">ates </w:t>
      </w:r>
      <w:r w:rsidR="00D3233F">
        <w:t>B</w:t>
      </w:r>
      <w:r>
        <w:t>aseline</w:t>
      </w:r>
      <w:r w:rsidR="00825264">
        <w:t>s</w:t>
      </w:r>
      <w:r>
        <w:t xml:space="preserve"> in line with actual business rate proceeds) would be preferable to </w:t>
      </w:r>
      <w:r w:rsidR="00D83CE0">
        <w:t xml:space="preserve">a </w:t>
      </w:r>
      <w:r>
        <w:t xml:space="preserve">system based on a subjective decision by government.  </w:t>
      </w:r>
    </w:p>
    <w:p w14:paraId="095FB1BF" w14:textId="77777777" w:rsidR="00BD4761" w:rsidRDefault="00891A43" w:rsidP="00FA7973">
      <w:pPr>
        <w:pStyle w:val="Level2"/>
        <w:keepNext w:val="0"/>
        <w:widowControl w:val="0"/>
      </w:pPr>
      <w:r>
        <w:t>In the paper the decision regarding the period of the reset of the Business</w:t>
      </w:r>
      <w:r w:rsidR="00D3233F">
        <w:t xml:space="preserve"> R</w:t>
      </w:r>
      <w:r>
        <w:t xml:space="preserve">ates </w:t>
      </w:r>
      <w:r w:rsidR="00D3233F">
        <w:t>B</w:t>
      </w:r>
      <w:r>
        <w:t>aseline is cou</w:t>
      </w:r>
      <w:r w:rsidR="00D3233F">
        <w:t xml:space="preserve">pled with that of relative need.  The paper suggests that </w:t>
      </w:r>
      <w:r>
        <w:t>too short a period between resets and the incentive for growth is weakened (</w:t>
      </w:r>
      <w:r w:rsidR="00D3233F">
        <w:t xml:space="preserve">and by this we are assuming that some or all of the growth will be taken from individual authorities and potentially even local government overall) </w:t>
      </w:r>
      <w:r>
        <w:t xml:space="preserve">and too long a period and relative need no longer reflects the Baseline </w:t>
      </w:r>
      <w:r w:rsidR="00D83CE0">
        <w:t>N</w:t>
      </w:r>
      <w:r>
        <w:t xml:space="preserve">eed amounts.  </w:t>
      </w:r>
    </w:p>
    <w:p w14:paraId="127AE42D" w14:textId="3732B19F" w:rsidR="00891A43" w:rsidRDefault="00825264" w:rsidP="00FA7973">
      <w:pPr>
        <w:pStyle w:val="Level2"/>
        <w:keepNext w:val="0"/>
        <w:widowControl w:val="0"/>
      </w:pPr>
      <w:r>
        <w:t>Of course, not all areas achieve growth and the paper quite rightly points out that more frequent resets would prevent authorities with</w:t>
      </w:r>
      <w:r w:rsidR="00D83CE0">
        <w:t xml:space="preserve"> a decline in </w:t>
      </w:r>
      <w:r>
        <w:t>business rate</w:t>
      </w:r>
      <w:r w:rsidR="00D83CE0">
        <w:t>s</w:t>
      </w:r>
      <w:r>
        <w:t xml:space="preserve"> from having </w:t>
      </w:r>
      <w:r w:rsidR="00D83CE0">
        <w:t xml:space="preserve">a </w:t>
      </w:r>
      <w:r>
        <w:t xml:space="preserve">prolonged period where funding levels are lower than calculated </w:t>
      </w:r>
      <w:r w:rsidR="00D83CE0">
        <w:t>of Baseline Need.</w:t>
      </w:r>
      <w:r>
        <w:t xml:space="preserve"> </w:t>
      </w:r>
    </w:p>
    <w:p w14:paraId="0D93AC3C" w14:textId="1A9A3134" w:rsidR="00825264" w:rsidRDefault="00825264" w:rsidP="00FA7973">
      <w:pPr>
        <w:pStyle w:val="Level2"/>
        <w:keepNext w:val="0"/>
        <w:widowControl w:val="0"/>
      </w:pPr>
      <w:r>
        <w:t>The paper identifi</w:t>
      </w:r>
      <w:r w:rsidR="00D83CE0">
        <w:t>es</w:t>
      </w:r>
      <w:r>
        <w:t xml:space="preserve"> the following potential methods for the reset:</w:t>
      </w:r>
    </w:p>
    <w:p w14:paraId="7214F950" w14:textId="6786A573" w:rsidR="00825264" w:rsidRDefault="00D83CE0" w:rsidP="00CD2B8E">
      <w:pPr>
        <w:pStyle w:val="Level2"/>
        <w:keepNext w:val="0"/>
        <w:widowControl w:val="0"/>
        <w:numPr>
          <w:ilvl w:val="0"/>
          <w:numId w:val="18"/>
        </w:numPr>
      </w:pPr>
      <w:r>
        <w:t>A f</w:t>
      </w:r>
      <w:r w:rsidR="00825264">
        <w:t>ull reset</w:t>
      </w:r>
      <w:r>
        <w:t xml:space="preserve"> </w:t>
      </w:r>
      <w:r w:rsidR="00825264">
        <w:t xml:space="preserve">including all achieved growth </w:t>
      </w:r>
      <w:r w:rsidR="00825264" w:rsidRPr="00FD1DBB">
        <w:rPr>
          <w:i/>
        </w:rPr>
        <w:t>frequently</w:t>
      </w:r>
      <w:r w:rsidR="00825264">
        <w:t xml:space="preserve"> (e.g. every five years) – the paper believes this would provide a growth incentive (i.e. keeping any growth for five years) whilst not allowing too great a period between relative need assessments. </w:t>
      </w:r>
    </w:p>
    <w:p w14:paraId="22B50DAB" w14:textId="7B513238" w:rsidR="00825264" w:rsidRDefault="00D83CE0" w:rsidP="00CD2B8E">
      <w:pPr>
        <w:pStyle w:val="Level2"/>
        <w:keepNext w:val="0"/>
        <w:widowControl w:val="0"/>
        <w:numPr>
          <w:ilvl w:val="0"/>
          <w:numId w:val="18"/>
        </w:numPr>
      </w:pPr>
      <w:r>
        <w:t xml:space="preserve">A full reset </w:t>
      </w:r>
      <w:r w:rsidR="00825264">
        <w:t xml:space="preserve">including all achieved growth </w:t>
      </w:r>
      <w:r w:rsidR="00825264" w:rsidRPr="00FD1DBB">
        <w:rPr>
          <w:i/>
        </w:rPr>
        <w:t>infrequently</w:t>
      </w:r>
      <w:r w:rsidR="00825264">
        <w:t xml:space="preserve"> (e.g. every 20 years) – this approach would allow authorities to keep the benefits of business rates growth over a much longer period, but could </w:t>
      </w:r>
      <w:r>
        <w:t xml:space="preserve">also </w:t>
      </w:r>
      <w:r w:rsidR="00825264">
        <w:t>leave authorities on the safety net for a similar period of time.  This approach would provide local authorities with a greater incentive for growth (and stability over the use its proceeds)</w:t>
      </w:r>
      <w:r>
        <w:t>.</w:t>
      </w:r>
      <w:r w:rsidR="00825264">
        <w:t xml:space="preserve"> </w:t>
      </w:r>
      <w:r>
        <w:t>H</w:t>
      </w:r>
      <w:r w:rsidR="00825264">
        <w:t>owever there is also of course the</w:t>
      </w:r>
      <w:r>
        <w:t xml:space="preserve"> risk</w:t>
      </w:r>
      <w:r w:rsidR="00825264">
        <w:t xml:space="preserve"> that after such a period, removing the higher level of income from </w:t>
      </w:r>
      <w:r w:rsidR="00A817F2">
        <w:t>authorities</w:t>
      </w:r>
      <w:r w:rsidR="00825264">
        <w:t xml:space="preserve"> </w:t>
      </w:r>
      <w:r>
        <w:t xml:space="preserve">who have achieved growth </w:t>
      </w:r>
      <w:r w:rsidR="00825264">
        <w:t>may be problematic</w:t>
      </w:r>
      <w:r w:rsidR="00A817F2">
        <w:t xml:space="preserve"> i.e. require too big of a reduction and therefore </w:t>
      </w:r>
      <w:r>
        <w:t>disincentives a</w:t>
      </w:r>
      <w:r w:rsidR="00A817F2">
        <w:t xml:space="preserve"> reset tak</w:t>
      </w:r>
      <w:r>
        <w:t>ing</w:t>
      </w:r>
      <w:r w:rsidR="00A817F2">
        <w:t xml:space="preserve"> place (in a similar way that council tax revaluation was eventually scrapped). </w:t>
      </w:r>
    </w:p>
    <w:p w14:paraId="52641EA2" w14:textId="75008301" w:rsidR="00A817F2" w:rsidRDefault="00A817F2" w:rsidP="00CD2B8E">
      <w:pPr>
        <w:pStyle w:val="Level2"/>
        <w:keepNext w:val="0"/>
        <w:widowControl w:val="0"/>
        <w:numPr>
          <w:ilvl w:val="0"/>
          <w:numId w:val="18"/>
        </w:numPr>
      </w:pPr>
      <w:r>
        <w:t>A partial rest of the system on a frequent basis – this option would see a res</w:t>
      </w:r>
      <w:r w:rsidR="00D83CE0">
        <w:t>e</w:t>
      </w:r>
      <w:r>
        <w:t xml:space="preserve">t of relative need, but not </w:t>
      </w:r>
      <w:r w:rsidR="00D83CE0">
        <w:t xml:space="preserve">a </w:t>
      </w:r>
      <w:r>
        <w:t>redistribut</w:t>
      </w:r>
      <w:r w:rsidR="00D83CE0">
        <w:t>ion of</w:t>
      </w:r>
      <w:r>
        <w:t xml:space="preserve"> all growth (i.e. still allowing relative need differences to be built in</w:t>
      </w:r>
      <w:r w:rsidR="00D83CE0">
        <w:t xml:space="preserve"> to the system</w:t>
      </w:r>
      <w:r>
        <w:t xml:space="preserve">, but providing an element of a longer term incentive to promote local growth). </w:t>
      </w:r>
    </w:p>
    <w:p w14:paraId="2D292396" w14:textId="3909BC0A" w:rsidR="00A817F2" w:rsidRDefault="00891A43" w:rsidP="00FA7973">
      <w:pPr>
        <w:pStyle w:val="Level2"/>
        <w:keepNext w:val="0"/>
        <w:widowControl w:val="0"/>
      </w:pPr>
      <w:r>
        <w:t xml:space="preserve">What is not </w:t>
      </w:r>
      <w:r w:rsidR="00825264">
        <w:t>discussed</w:t>
      </w:r>
      <w:r>
        <w:t xml:space="preserve"> is the</w:t>
      </w:r>
      <w:r w:rsidR="00825264">
        <w:t xml:space="preserve"> separation of these two, which would be possible. </w:t>
      </w:r>
      <w:proofErr w:type="gramStart"/>
      <w:r w:rsidR="00825264">
        <w:t>i.e</w:t>
      </w:r>
      <w:proofErr w:type="gramEnd"/>
      <w:r w:rsidR="00825264">
        <w:t xml:space="preserve">. </w:t>
      </w:r>
      <w:r w:rsidR="00D83CE0">
        <w:t xml:space="preserve">the </w:t>
      </w:r>
      <w:r w:rsidR="00BD4761">
        <w:t>Business R</w:t>
      </w:r>
      <w:r w:rsidR="00825264">
        <w:t>ate</w:t>
      </w:r>
      <w:r w:rsidR="00D83CE0">
        <w:t>s</w:t>
      </w:r>
      <w:r w:rsidR="00825264">
        <w:t xml:space="preserve"> </w:t>
      </w:r>
      <w:r w:rsidR="00BD4761">
        <w:t>B</w:t>
      </w:r>
      <w:r w:rsidR="00825264">
        <w:t>aseline</w:t>
      </w:r>
      <w:r w:rsidR="00D83CE0">
        <w:t xml:space="preserve"> </w:t>
      </w:r>
      <w:r w:rsidR="00825264">
        <w:t xml:space="preserve"> could be reset every 10 years whilst need could be determined every year based on </w:t>
      </w:r>
      <w:r w:rsidR="00D83CE0">
        <w:t xml:space="preserve">an update of </w:t>
      </w:r>
      <w:r w:rsidR="00825264">
        <w:t>key data such as population level</w:t>
      </w:r>
      <w:r w:rsidR="00D83CE0">
        <w:t>s</w:t>
      </w:r>
      <w:r w:rsidR="00825264">
        <w:t xml:space="preserve"> and </w:t>
      </w:r>
      <w:r w:rsidR="00D83CE0">
        <w:t xml:space="preserve">the </w:t>
      </w:r>
      <w:r w:rsidR="00825264">
        <w:t xml:space="preserve">council taxbase.  </w:t>
      </w:r>
      <w:r w:rsidR="00A817F2">
        <w:t xml:space="preserve">Authorities could still retain local growth whilst the </w:t>
      </w:r>
      <w:r w:rsidR="00D83CE0">
        <w:t>N</w:t>
      </w:r>
      <w:r w:rsidR="00A817F2">
        <w:t xml:space="preserve">eed figure could still capture key net expenditure drivers such as population change, deprivation and council taxbase. </w:t>
      </w:r>
    </w:p>
    <w:tbl>
      <w:tblPr>
        <w:tblStyle w:val="TableGrid"/>
        <w:tblW w:w="0" w:type="auto"/>
        <w:tblInd w:w="11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9316"/>
      </w:tblGrid>
      <w:tr w:rsidR="00C61BCE" w:rsidRPr="00F65D14" w14:paraId="075DF543" w14:textId="77777777" w:rsidTr="006B783C">
        <w:tc>
          <w:tcPr>
            <w:tcW w:w="9316" w:type="dxa"/>
            <w:shd w:val="clear" w:color="auto" w:fill="F2F2F2" w:themeFill="background1" w:themeFillShade="F2"/>
          </w:tcPr>
          <w:p w14:paraId="635D24E9" w14:textId="77777777" w:rsidR="00C61BCE" w:rsidRPr="00F65D14" w:rsidRDefault="00C61BCE" w:rsidP="00FA797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lastRenderedPageBreak/>
              <w:t>Question 6: Do you agree that we should fix reset periods for the system?</w:t>
            </w:r>
          </w:p>
        </w:tc>
      </w:tr>
      <w:tr w:rsidR="00177C42" w:rsidRPr="00F65D14" w14:paraId="37E7E102" w14:textId="77777777" w:rsidTr="00177C42">
        <w:tc>
          <w:tcPr>
            <w:tcW w:w="9316" w:type="dxa"/>
            <w:shd w:val="clear" w:color="auto" w:fill="DBE5F1" w:themeFill="accent1" w:themeFillTint="33"/>
          </w:tcPr>
          <w:p w14:paraId="3B473186" w14:textId="7791534C" w:rsidR="00600ED9" w:rsidRPr="00600ED9" w:rsidRDefault="00600ED9" w:rsidP="00600ED9">
            <w:pPr>
              <w:pStyle w:val="SDCTview"/>
              <w:rPr>
                <w:i/>
              </w:rPr>
            </w:pPr>
            <w:r w:rsidRPr="00600ED9">
              <w:rPr>
                <w:i/>
              </w:rPr>
              <w:t>Individual authorities may w</w:t>
            </w:r>
            <w:r w:rsidR="00993569">
              <w:rPr>
                <w:i/>
              </w:rPr>
              <w:t>ant to respond to this question</w:t>
            </w:r>
            <w:r w:rsidRPr="00600ED9">
              <w:rPr>
                <w:i/>
              </w:rPr>
              <w:t xml:space="preserve"> by suggesting there should not be a Reset (see Question 8 below).  The para below is drafted on the basis that if Resets are to happen</w:t>
            </w:r>
            <w:r w:rsidR="00993569">
              <w:rPr>
                <w:i/>
              </w:rPr>
              <w:t>,</w:t>
            </w:r>
            <w:r w:rsidRPr="00600ED9">
              <w:rPr>
                <w:i/>
              </w:rPr>
              <w:t xml:space="preserve"> a fixed period is perhaps preferable for financial planning purposes.  The length of the period is also discussed in Question 8 below. </w:t>
            </w:r>
          </w:p>
          <w:p w14:paraId="7DEFB1B7" w14:textId="4DD36B3B" w:rsidR="00177C42" w:rsidRDefault="00177C42" w:rsidP="00177C42">
            <w:pPr>
              <w:widowControl w:val="0"/>
              <w:autoSpaceDE w:val="0"/>
              <w:autoSpaceDN w:val="0"/>
              <w:adjustRightInd w:val="0"/>
              <w:spacing w:before="240" w:after="240" w:line="240" w:lineRule="auto"/>
              <w:rPr>
                <w:b/>
                <w:lang w:eastAsia="en-GB"/>
              </w:rPr>
            </w:pPr>
            <w:r w:rsidRPr="00DE69E3">
              <w:rPr>
                <w:b/>
                <w:lang w:eastAsia="en-GB"/>
              </w:rPr>
              <w:t>Potential view of SDCT</w:t>
            </w:r>
          </w:p>
          <w:p w14:paraId="4917FA3D" w14:textId="104D3196" w:rsidR="00177C42" w:rsidRPr="00F65D14" w:rsidRDefault="002649DB" w:rsidP="00177C42">
            <w:pPr>
              <w:pStyle w:val="SDCTview"/>
            </w:pPr>
            <w:r>
              <w:t xml:space="preserve">Having a fixed period does allow an authority to know when their current position against the NDR baseline is due to end and therefore allows some degree of financial planning (compared to waiting for a subjective decision from central government). </w:t>
            </w:r>
            <w:r w:rsidR="00CA1485">
              <w:t xml:space="preserve">  However, it is also important that the process for a Reset is set out in advance on not open to manipulation in future years.  For example, changing the number of years the Baseline is calculated on.  </w:t>
            </w:r>
          </w:p>
        </w:tc>
      </w:tr>
      <w:tr w:rsidR="00C61BCE" w:rsidRPr="00F65D14" w14:paraId="4179E840" w14:textId="77777777" w:rsidTr="006B783C">
        <w:tc>
          <w:tcPr>
            <w:tcW w:w="9316" w:type="dxa"/>
            <w:shd w:val="clear" w:color="auto" w:fill="F2F2F2" w:themeFill="background1" w:themeFillShade="F2"/>
          </w:tcPr>
          <w:p w14:paraId="3A96AD0F" w14:textId="77777777" w:rsidR="00C61BCE" w:rsidRPr="00F65D14" w:rsidRDefault="00C61BCE" w:rsidP="00FA797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7: What is the right balance in the system between rewarding growth and redistributing to meet changing need?</w:t>
            </w:r>
          </w:p>
        </w:tc>
      </w:tr>
      <w:tr w:rsidR="00177C42" w:rsidRPr="00F65D14" w14:paraId="205ECF6B" w14:textId="77777777" w:rsidTr="00177C42">
        <w:tc>
          <w:tcPr>
            <w:tcW w:w="9316" w:type="dxa"/>
            <w:shd w:val="clear" w:color="auto" w:fill="DBE5F1" w:themeFill="accent1" w:themeFillTint="33"/>
          </w:tcPr>
          <w:p w14:paraId="3543C87B" w14:textId="051A5978" w:rsidR="00600ED9" w:rsidRPr="00993569" w:rsidRDefault="00600ED9" w:rsidP="00993569">
            <w:pPr>
              <w:rPr>
                <w:i/>
                <w:lang w:eastAsia="en-GB"/>
              </w:rPr>
            </w:pPr>
            <w:r w:rsidRPr="00993569">
              <w:rPr>
                <w:i/>
                <w:lang w:eastAsia="en-GB"/>
              </w:rPr>
              <w:t xml:space="preserve">The view below assumes that districts would favour keeping resources away from the relative need formulae.  This assumption is based upon (i) local share for districts remains a higher proportion that its relative need share and (ii) districts have a relatively lower </w:t>
            </w:r>
            <w:r w:rsidR="00993569">
              <w:rPr>
                <w:i/>
                <w:lang w:eastAsia="en-GB"/>
              </w:rPr>
              <w:t xml:space="preserve">level of </w:t>
            </w:r>
            <w:r w:rsidRPr="00993569">
              <w:rPr>
                <w:i/>
                <w:lang w:eastAsia="en-GB"/>
              </w:rPr>
              <w:t xml:space="preserve">need than other authorities (based on the tier split) plus relative need data. </w:t>
            </w:r>
          </w:p>
          <w:p w14:paraId="18506061" w14:textId="77777777" w:rsidR="00177C42" w:rsidRDefault="00177C42" w:rsidP="00177C42">
            <w:pPr>
              <w:widowControl w:val="0"/>
              <w:autoSpaceDE w:val="0"/>
              <w:autoSpaceDN w:val="0"/>
              <w:adjustRightInd w:val="0"/>
              <w:spacing w:before="240" w:after="240" w:line="240" w:lineRule="auto"/>
              <w:rPr>
                <w:b/>
                <w:lang w:eastAsia="en-GB"/>
              </w:rPr>
            </w:pPr>
            <w:r w:rsidRPr="00DE69E3">
              <w:rPr>
                <w:b/>
                <w:lang w:eastAsia="en-GB"/>
              </w:rPr>
              <w:t>Potential view of SDCT</w:t>
            </w:r>
          </w:p>
          <w:p w14:paraId="1EB9B3FA" w14:textId="23073BB2" w:rsidR="00F42854" w:rsidRDefault="00F42854" w:rsidP="00F42854">
            <w:pPr>
              <w:pStyle w:val="SDCTview"/>
            </w:pPr>
            <w:r>
              <w:t xml:space="preserve">Pre 2013/14, there was a fixed amount of resources available to local authorities (i.e. Formula Grant) and therefore for an authority to gain resources others had to lose. So when a shift in Relative Need occurred, resources were moved between authorities.  However, since 2013/14 there is now an added dimension i.e. the amount of resources created locally through business rates growth.  </w:t>
            </w:r>
          </w:p>
          <w:p w14:paraId="6789E9AA" w14:textId="18BAE5A1" w:rsidR="00F42854" w:rsidRDefault="00F42854" w:rsidP="00F42854">
            <w:pPr>
              <w:pStyle w:val="SDCTview"/>
            </w:pPr>
            <w:r>
              <w:t xml:space="preserve">Whilst it is acknowledged that Relative Need does need to be recalculated (how often is subject to debate), it </w:t>
            </w:r>
            <w:r w:rsidR="003D3A2C">
              <w:t xml:space="preserve">does not follow that growth achieved above the national Settlement Funding Amount (SFA) needs to be included in any reassessment of Relative Need.  Instead, the amounts with the SFA figure could be re-assessed and growth could be retained outside of the relative need calculation.  </w:t>
            </w:r>
          </w:p>
          <w:p w14:paraId="2207CD61" w14:textId="5AF33632" w:rsidR="003D3A2C" w:rsidRPr="00F65D14" w:rsidRDefault="003D3A2C" w:rsidP="00600ED9">
            <w:pPr>
              <w:pStyle w:val="SDCTview"/>
              <w:rPr>
                <w:rFonts w:cs="Arial"/>
                <w:bCs/>
                <w:iCs/>
                <w:color w:val="000000"/>
                <w:szCs w:val="22"/>
              </w:rPr>
            </w:pPr>
            <w:r>
              <w:t xml:space="preserve">Furthermore, whilst for 2020 there is to be a simultaneous “Reset” and reassessment of Local Need, this does not need to be the case in the future.  For example, Need (and therefore the Baseline Need amount) could be updated annually, bi-annually or 5 yearly to reflect data change whilst business rates (and the NDR Baseline figure) could be Reset on a different timeline i.e. 5, 10 or 20 years (see Question 8). </w:t>
            </w:r>
          </w:p>
        </w:tc>
      </w:tr>
    </w:tbl>
    <w:p w14:paraId="396289E1" w14:textId="77777777" w:rsidR="00600ED9" w:rsidRDefault="00600ED9">
      <w:r>
        <w:br w:type="page"/>
      </w:r>
    </w:p>
    <w:tbl>
      <w:tblPr>
        <w:tblStyle w:val="TableGrid"/>
        <w:tblW w:w="0" w:type="auto"/>
        <w:tblInd w:w="11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9316"/>
      </w:tblGrid>
      <w:tr w:rsidR="00C61BCE" w:rsidRPr="00F65D14" w14:paraId="44CEFDA0" w14:textId="77777777" w:rsidTr="006B783C">
        <w:tc>
          <w:tcPr>
            <w:tcW w:w="9316" w:type="dxa"/>
            <w:shd w:val="clear" w:color="auto" w:fill="F2F2F2" w:themeFill="background1" w:themeFillShade="F2"/>
          </w:tcPr>
          <w:p w14:paraId="7CCFA3E2" w14:textId="3F72FD0C" w:rsidR="00C61BCE" w:rsidRPr="00F65D14" w:rsidRDefault="00C61BCE" w:rsidP="00FA797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lastRenderedPageBreak/>
              <w:t xml:space="preserve">Question 8: Having regard to the balance between rewarding </w:t>
            </w:r>
            <w:proofErr w:type="gramStart"/>
            <w:r w:rsidRPr="00F65D14">
              <w:rPr>
                <w:rFonts w:cs="Arial"/>
                <w:bCs/>
                <w:iCs/>
                <w:color w:val="000000"/>
                <w:szCs w:val="22"/>
                <w:lang w:eastAsia="en-GB"/>
              </w:rPr>
              <w:t>growth</w:t>
            </w:r>
            <w:proofErr w:type="gramEnd"/>
            <w:r w:rsidRPr="00F65D14">
              <w:rPr>
                <w:rFonts w:cs="Arial"/>
                <w:bCs/>
                <w:iCs/>
                <w:color w:val="000000"/>
                <w:szCs w:val="22"/>
                <w:lang w:eastAsia="en-GB"/>
              </w:rPr>
              <w:t xml:space="preserve"> and protecting authorities with declining resources, how would you like to see a partial reset work?</w:t>
            </w:r>
          </w:p>
        </w:tc>
      </w:tr>
      <w:tr w:rsidR="00177C42" w:rsidRPr="00F65D14" w14:paraId="57D7F6D9" w14:textId="77777777" w:rsidTr="00177C42">
        <w:tc>
          <w:tcPr>
            <w:tcW w:w="9316" w:type="dxa"/>
            <w:shd w:val="clear" w:color="auto" w:fill="DBE5F1" w:themeFill="accent1" w:themeFillTint="33"/>
          </w:tcPr>
          <w:p w14:paraId="0C7B622F" w14:textId="77777777" w:rsidR="00600ED9" w:rsidRPr="00993569" w:rsidRDefault="00600ED9" w:rsidP="00993569">
            <w:pPr>
              <w:rPr>
                <w:i/>
              </w:rPr>
            </w:pPr>
            <w:r w:rsidRPr="00993569">
              <w:rPr>
                <w:i/>
              </w:rPr>
              <w:t xml:space="preserve">An individual district’s view on a Reset may vary across authorities and potentially over time i.e. depending on where they are compared to their NDR Baseline at </w:t>
            </w:r>
            <w:proofErr w:type="gramStart"/>
            <w:r w:rsidRPr="00993569">
              <w:rPr>
                <w:i/>
              </w:rPr>
              <w:t>an</w:t>
            </w:r>
            <w:proofErr w:type="gramEnd"/>
            <w:r w:rsidRPr="00993569">
              <w:rPr>
                <w:i/>
              </w:rPr>
              <w:t xml:space="preserve"> given point (with those below wanting a new lower target and those above wanting no Reset).  However, hopefully the points raised below will be accepted by all districts as necessary in creating a system that does not create a funding lottery over the longer term, based on the methodology for NDR Baseline</w:t>
            </w:r>
          </w:p>
          <w:p w14:paraId="7C8C8B1E" w14:textId="747263DC" w:rsidR="00177C42" w:rsidRDefault="00177C42" w:rsidP="00177C42">
            <w:pPr>
              <w:widowControl w:val="0"/>
              <w:autoSpaceDE w:val="0"/>
              <w:autoSpaceDN w:val="0"/>
              <w:adjustRightInd w:val="0"/>
              <w:spacing w:before="240" w:after="240" w:line="240" w:lineRule="auto"/>
              <w:rPr>
                <w:b/>
                <w:lang w:eastAsia="en-GB"/>
              </w:rPr>
            </w:pPr>
            <w:r w:rsidRPr="00DE69E3">
              <w:rPr>
                <w:b/>
                <w:lang w:eastAsia="en-GB"/>
              </w:rPr>
              <w:t>Potential view of SDCT</w:t>
            </w:r>
          </w:p>
          <w:p w14:paraId="1820EB42" w14:textId="5F93F836" w:rsidR="001F51AA" w:rsidRDefault="003D3A2C" w:rsidP="00027915">
            <w:pPr>
              <w:pStyle w:val="SDCTview"/>
            </w:pPr>
            <w:r>
              <w:t xml:space="preserve">The </w:t>
            </w:r>
            <w:r w:rsidR="001F51AA">
              <w:t>purpose</w:t>
            </w:r>
            <w:r>
              <w:t xml:space="preserve"> of business rates </w:t>
            </w:r>
            <w:r w:rsidR="001F51AA">
              <w:t xml:space="preserve">retention </w:t>
            </w:r>
            <w:r>
              <w:t xml:space="preserve">is to create an incentive for authorities to promote economic growth. </w:t>
            </w:r>
            <w:r w:rsidR="00027915">
              <w:t>Therefore, by only allowing authorities to retain growth for a limited period limit</w:t>
            </w:r>
            <w:r w:rsidR="00993569">
              <w:t>s</w:t>
            </w:r>
            <w:r w:rsidR="00027915">
              <w:t xml:space="preserve"> the incentive and potentially the resources required to allow authorities to finance material sums locally to promote growth. </w:t>
            </w:r>
          </w:p>
          <w:p w14:paraId="0AB52108" w14:textId="41EE0FDA" w:rsidR="00027915" w:rsidRDefault="00027915" w:rsidP="00027915">
            <w:pPr>
              <w:pStyle w:val="SDCTview"/>
            </w:pPr>
            <w:r>
              <w:t xml:space="preserve">This argument would suggest that growth should be retained on a permanent basis (or over a sufficiently long period).  However, the extent to which authorities have created “growth” (if defined by amount collected above NDR Baseline) and the extent to which it is merely a consequence of a particular methodology for setting the NDR Baseline should be recognised.  Therefore, the most appropriate course of action may be to include a partial reset into the system to ensure: </w:t>
            </w:r>
          </w:p>
          <w:p w14:paraId="1D819F0B" w14:textId="40ABE13E" w:rsidR="00027915" w:rsidRDefault="00027915" w:rsidP="00027915">
            <w:pPr>
              <w:pStyle w:val="SDCTview"/>
              <w:numPr>
                <w:ilvl w:val="0"/>
                <w:numId w:val="20"/>
              </w:numPr>
            </w:pPr>
            <w:r>
              <w:t>Windfall gains (from favourable baselines) are restricted to a limited number of years</w:t>
            </w:r>
          </w:p>
          <w:p w14:paraId="7C8EAB61" w14:textId="77777777" w:rsidR="00177C42" w:rsidRDefault="00027915" w:rsidP="00027915">
            <w:pPr>
              <w:pStyle w:val="SDCTview"/>
              <w:numPr>
                <w:ilvl w:val="0"/>
                <w:numId w:val="20"/>
              </w:numPr>
            </w:pPr>
            <w:r>
              <w:t xml:space="preserve">Authorities with unfavourable baselines (due to the timing of appeals being settled for example) are not left in the positon of needing safety net support over a prolonged period. </w:t>
            </w:r>
          </w:p>
          <w:p w14:paraId="3D6A3923" w14:textId="403FAB96" w:rsidR="009B307B" w:rsidRDefault="009B307B" w:rsidP="009B307B">
            <w:pPr>
              <w:pStyle w:val="SDCTview"/>
            </w:pPr>
            <w:r>
              <w:t xml:space="preserve">This is opposed to what would be could be considered a “Full Reset” and “No Reset” i.e. </w:t>
            </w:r>
          </w:p>
          <w:p w14:paraId="1916712C" w14:textId="4E33F308" w:rsidR="009B307B" w:rsidRDefault="009B307B" w:rsidP="009B307B">
            <w:pPr>
              <w:pStyle w:val="SDCTview"/>
            </w:pPr>
            <w:r>
              <w:t xml:space="preserve">No </w:t>
            </w:r>
            <w:proofErr w:type="gramStart"/>
            <w:r>
              <w:t>Reset  -</w:t>
            </w:r>
            <w:proofErr w:type="gramEnd"/>
            <w:r>
              <w:t xml:space="preserve"> NDR Baselines continue to be increase by the increase to the multiplier only and NDR growth is retained indefinitely (with only Baseline Need being updated).</w:t>
            </w:r>
          </w:p>
          <w:p w14:paraId="3CA0A131" w14:textId="35C7B4AA" w:rsidR="009B307B" w:rsidRDefault="009B307B" w:rsidP="009B307B">
            <w:pPr>
              <w:pStyle w:val="SDCTview"/>
            </w:pPr>
            <w:r>
              <w:t xml:space="preserve">Full Reset – the NDR Baseline (and therefore Baseline Need) increases at the reset to reflect the growth achieved between resets.  This would either (i) allow central government to roll in more responsibilities into the SFA or (ii) the growth would be redistributed based on Relative Need (i.e. as per the issue in Question 6 above).  </w:t>
            </w:r>
          </w:p>
          <w:p w14:paraId="15ADF2E6" w14:textId="77777777" w:rsidR="00302B95" w:rsidRDefault="009B307B" w:rsidP="009B307B">
            <w:pPr>
              <w:pStyle w:val="SDCTview"/>
            </w:pPr>
            <w:r>
              <w:t>A “Partial Reset” could mean that l</w:t>
            </w:r>
            <w:r w:rsidR="00027915">
              <w:t>ocal government</w:t>
            </w:r>
            <w:r>
              <w:t xml:space="preserve"> is</w:t>
            </w:r>
            <w:r w:rsidR="00027915">
              <w:t xml:space="preserve"> to keep the gains made above the Baseline </w:t>
            </w:r>
            <w:r>
              <w:t xml:space="preserve">(albeit distributed across local government via the NDR Baseline), thereby creating the incentive for the sector. However, the incentive for individual authorities may be significantly </w:t>
            </w:r>
            <w:r>
              <w:lastRenderedPageBreak/>
              <w:t>weaker if they kno</w:t>
            </w:r>
            <w:r w:rsidR="00302B95">
              <w:t xml:space="preserve">w that longer term growth elsewhere is a more important factor that local growth.  </w:t>
            </w:r>
          </w:p>
          <w:p w14:paraId="11ABAAC3" w14:textId="77777777" w:rsidR="00027915" w:rsidRDefault="00302B95" w:rsidP="00302B95">
            <w:pPr>
              <w:pStyle w:val="SDCTview"/>
            </w:pPr>
            <w:r>
              <w:t xml:space="preserve">A partial reset of this nature </w:t>
            </w:r>
            <w:r w:rsidR="009B307B">
              <w:t xml:space="preserve">would also not differentiate between an authority that has invested significantly (and needs the proceeds of growth to pay for the investment) and those that have merely gained from the Reset methodology.  </w:t>
            </w:r>
          </w:p>
          <w:p w14:paraId="662C8BF4" w14:textId="77777777" w:rsidR="00302B95" w:rsidRDefault="00302B95" w:rsidP="00302B95">
            <w:pPr>
              <w:pStyle w:val="SDCTview"/>
            </w:pPr>
            <w:r>
              <w:t>The partial reset therefore needs to:</w:t>
            </w:r>
          </w:p>
          <w:p w14:paraId="68B328D2" w14:textId="096CC1D6" w:rsidR="00302B95" w:rsidRDefault="00302B95" w:rsidP="00302B95">
            <w:pPr>
              <w:pStyle w:val="Style2"/>
              <w:tabs>
                <w:tab w:val="clear" w:pos="1200"/>
                <w:tab w:val="num" w:pos="596"/>
              </w:tabs>
              <w:ind w:left="596" w:hanging="596"/>
            </w:pPr>
            <w:r>
              <w:t xml:space="preserve">Retain growth in local government </w:t>
            </w:r>
          </w:p>
          <w:p w14:paraId="3DBB834B" w14:textId="2E059240" w:rsidR="00302B95" w:rsidRDefault="00302B95" w:rsidP="00302B95">
            <w:pPr>
              <w:pStyle w:val="Style2"/>
              <w:tabs>
                <w:tab w:val="clear" w:pos="1200"/>
                <w:tab w:val="num" w:pos="596"/>
              </w:tabs>
              <w:ind w:left="596" w:hanging="596"/>
            </w:pPr>
            <w:r>
              <w:t xml:space="preserve">Allow authorities to retain </w:t>
            </w:r>
            <w:r w:rsidR="00993569">
              <w:t xml:space="preserve">“real </w:t>
            </w:r>
            <w:r>
              <w:t>growth</w:t>
            </w:r>
            <w:r w:rsidR="00993569">
              <w:t>”</w:t>
            </w:r>
            <w:r>
              <w:t xml:space="preserve"> (in order to create the right incentive for investment)</w:t>
            </w:r>
          </w:p>
          <w:p w14:paraId="2DBA2B8A" w14:textId="77777777" w:rsidR="00302B95" w:rsidRDefault="00302B95" w:rsidP="00302B95">
            <w:pPr>
              <w:pStyle w:val="Style2"/>
              <w:tabs>
                <w:tab w:val="clear" w:pos="1200"/>
                <w:tab w:val="num" w:pos="596"/>
              </w:tabs>
              <w:ind w:left="596" w:hanging="596"/>
            </w:pPr>
            <w:r>
              <w:t xml:space="preserve">Stop longer term windfall gains or unrealistic Baselines that leave authorities below their NDR Baseline / at the safety net, due to the methodology for the Reset only.  </w:t>
            </w:r>
          </w:p>
          <w:p w14:paraId="316BEF51" w14:textId="4324C3E1" w:rsidR="001013A8" w:rsidRDefault="00302B95" w:rsidP="001013A8">
            <w:pPr>
              <w:pStyle w:val="SDCTview"/>
            </w:pPr>
            <w:r>
              <w:t>In effect, it needs to allow local authorities to retain the rewards / resources due from actual growth, whilst at the same time ensure funding disparities (through the methodology in determining the NDR Baseline) are kept to a minimum. Potential ways o</w:t>
            </w:r>
            <w:r w:rsidR="001013A8">
              <w:t xml:space="preserve">f addressing this could be to allow authorities to ring fence growth in specific sites (as with Enterprise Zones) that would be exempt from Resets.  Whilst this would increase complexity, it provide authorities with confidence that investment would be affordable / worthwhile. </w:t>
            </w:r>
          </w:p>
          <w:p w14:paraId="240B12AB" w14:textId="315C031C" w:rsidR="001013A8" w:rsidRPr="00027915" w:rsidRDefault="001013A8" w:rsidP="001F51AA">
            <w:pPr>
              <w:pStyle w:val="SDCTview"/>
            </w:pPr>
            <w:r>
              <w:t xml:space="preserve">If this ring fencing was in place it would allow Resets to be more </w:t>
            </w:r>
            <w:r w:rsidR="00993569">
              <w:t>frequent</w:t>
            </w:r>
            <w:r w:rsidR="001F51AA">
              <w:t>,</w:t>
            </w:r>
            <w:r>
              <w:t xml:space="preserve"> thereby reducing the impact of large gains or losses from the Reset methodology.  It would also mean there would be less of a need for any damping / transitional funding, as baseline should not shift by that great an amount. </w:t>
            </w:r>
          </w:p>
        </w:tc>
      </w:tr>
    </w:tbl>
    <w:p w14:paraId="2B119521" w14:textId="5C9D0194" w:rsidR="00C61BCE" w:rsidRDefault="00A817F2" w:rsidP="00FA7973">
      <w:pPr>
        <w:pStyle w:val="aaa"/>
        <w:keepNext w:val="0"/>
        <w:widowControl w:val="0"/>
      </w:pPr>
      <w:r>
        <w:lastRenderedPageBreak/>
        <w:t xml:space="preserve">The responses of local authorities may be linked to their belief that they can achieve longer terms growth and / or their desire to have greater local control / responsibility to create the right incentive for local growth </w:t>
      </w:r>
      <w:r w:rsidR="00D83CE0">
        <w:t>in the future</w:t>
      </w:r>
      <w:r>
        <w:t xml:space="preserve">.  </w:t>
      </w:r>
    </w:p>
    <w:p w14:paraId="7C779561" w14:textId="4F10D7E3" w:rsidR="00A817F2" w:rsidRDefault="00A817F2" w:rsidP="00A817F2">
      <w:pPr>
        <w:pStyle w:val="Heading3"/>
      </w:pPr>
      <w:r>
        <w:t>Top ups and Tariffs</w:t>
      </w:r>
    </w:p>
    <w:p w14:paraId="21EF6A81" w14:textId="0A453701" w:rsidR="00C16649" w:rsidRDefault="00A817F2" w:rsidP="00A817F2">
      <w:pPr>
        <w:pStyle w:val="Level2"/>
      </w:pPr>
      <w:r>
        <w:t xml:space="preserve">It is the intention of government to maintain the current top up and tariff system, although the papers does state that there is a desire to set up a system that minimises the redistribution of rates </w:t>
      </w:r>
      <w:r w:rsidR="00BD4761">
        <w:t xml:space="preserve">(whilst not disadvantaging areas with small </w:t>
      </w:r>
      <w:r>
        <w:t>business rate taxbase</w:t>
      </w:r>
      <w:r w:rsidR="00BD4761">
        <w:t>s</w:t>
      </w:r>
      <w:r>
        <w:t xml:space="preserve">.   </w:t>
      </w:r>
      <w:r w:rsidR="00C16649">
        <w:t>It also states that top up</w:t>
      </w:r>
      <w:r w:rsidR="0075696A">
        <w:t>s</w:t>
      </w:r>
      <w:r w:rsidR="00C16649">
        <w:t xml:space="preserve"> and tariff</w:t>
      </w:r>
      <w:r w:rsidR="0075696A">
        <w:t>s</w:t>
      </w:r>
      <w:r w:rsidR="00C16649">
        <w:t xml:space="preserve"> will be fixed between resets (you would imagine this would be with similar adjustments to the current system for multiplier increases and revaluation – see below) to promote growth.  </w:t>
      </w:r>
    </w:p>
    <w:p w14:paraId="710547F2" w14:textId="6FFA3667" w:rsidR="00C16649" w:rsidRDefault="00C16649" w:rsidP="00C16649">
      <w:pPr>
        <w:pStyle w:val="Level2"/>
      </w:pPr>
      <w:r>
        <w:t>Th</w:t>
      </w:r>
      <w:r w:rsidR="0075696A">
        <w:t>e</w:t>
      </w:r>
      <w:r>
        <w:t xml:space="preserve"> approach </w:t>
      </w:r>
      <w:r w:rsidR="0075696A">
        <w:t xml:space="preserve">set out in </w:t>
      </w:r>
      <w:r>
        <w:t xml:space="preserve">the paper would suggest </w:t>
      </w:r>
      <w:r w:rsidR="0075696A">
        <w:t xml:space="preserve">the </w:t>
      </w:r>
      <w:r>
        <w:t xml:space="preserve">government </w:t>
      </w:r>
      <w:r w:rsidR="0075696A">
        <w:t>is</w:t>
      </w:r>
      <w:r>
        <w:t xml:space="preserve"> ruling out changes to the top up / tariffs for external reasons e.g. population changes, damping or funding </w:t>
      </w:r>
      <w:proofErr w:type="gramStart"/>
      <w:r>
        <w:t>reductions, that</w:t>
      </w:r>
      <w:proofErr w:type="gramEnd"/>
      <w:r>
        <w:t xml:space="preserve"> would not alter </w:t>
      </w:r>
      <w:r w:rsidR="0075696A">
        <w:t>the</w:t>
      </w:r>
      <w:r>
        <w:t xml:space="preserve"> incentive for growth.  </w:t>
      </w:r>
    </w:p>
    <w:tbl>
      <w:tblPr>
        <w:tblStyle w:val="TableGrid"/>
        <w:tblW w:w="0" w:type="auto"/>
        <w:tblInd w:w="11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9316"/>
      </w:tblGrid>
      <w:tr w:rsidR="00C61BCE" w:rsidRPr="00F65D14" w14:paraId="0B71078A" w14:textId="77777777" w:rsidTr="006B783C">
        <w:tc>
          <w:tcPr>
            <w:tcW w:w="9316" w:type="dxa"/>
            <w:shd w:val="clear" w:color="auto" w:fill="F2F2F2" w:themeFill="background1" w:themeFillShade="F2"/>
          </w:tcPr>
          <w:p w14:paraId="53E4CBF3" w14:textId="77777777" w:rsidR="00C61BCE" w:rsidRPr="00F65D14" w:rsidRDefault="00C61BCE" w:rsidP="00FA797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 xml:space="preserve">Question 9: Is the current system of tariffs and top-ups the right one for redistribution </w:t>
            </w:r>
            <w:r w:rsidRPr="00F65D14">
              <w:rPr>
                <w:rFonts w:cs="Arial"/>
                <w:bCs/>
                <w:iCs/>
                <w:color w:val="000000"/>
                <w:szCs w:val="22"/>
                <w:lang w:eastAsia="en-GB"/>
              </w:rPr>
              <w:lastRenderedPageBreak/>
              <w:t>between local authorities?</w:t>
            </w:r>
          </w:p>
        </w:tc>
      </w:tr>
      <w:tr w:rsidR="00177C42" w:rsidRPr="00F65D14" w14:paraId="0B19A38C" w14:textId="77777777" w:rsidTr="00177C42">
        <w:tc>
          <w:tcPr>
            <w:tcW w:w="9316" w:type="dxa"/>
            <w:shd w:val="clear" w:color="auto" w:fill="DBE5F1" w:themeFill="accent1" w:themeFillTint="33"/>
          </w:tcPr>
          <w:p w14:paraId="05D56C38" w14:textId="77777777" w:rsidR="00177C42" w:rsidRDefault="00177C42" w:rsidP="00177C42">
            <w:pPr>
              <w:widowControl w:val="0"/>
              <w:autoSpaceDE w:val="0"/>
              <w:autoSpaceDN w:val="0"/>
              <w:adjustRightInd w:val="0"/>
              <w:spacing w:before="240" w:after="240" w:line="240" w:lineRule="auto"/>
              <w:rPr>
                <w:b/>
                <w:lang w:eastAsia="en-GB"/>
              </w:rPr>
            </w:pPr>
            <w:r w:rsidRPr="00DE69E3">
              <w:rPr>
                <w:b/>
                <w:lang w:eastAsia="en-GB"/>
              </w:rPr>
              <w:lastRenderedPageBreak/>
              <w:t>Potential view of SDCT</w:t>
            </w:r>
          </w:p>
          <w:p w14:paraId="2765E547" w14:textId="5DBD1C15" w:rsidR="00177C42" w:rsidRPr="00F65D14" w:rsidRDefault="005B24F0" w:rsidP="00177C42">
            <w:pPr>
              <w:widowControl w:val="0"/>
              <w:autoSpaceDE w:val="0"/>
              <w:autoSpaceDN w:val="0"/>
              <w:adjustRightInd w:val="0"/>
              <w:spacing w:before="240" w:after="240" w:line="240" w:lineRule="auto"/>
              <w:rPr>
                <w:rFonts w:cs="Arial"/>
                <w:bCs/>
                <w:iCs/>
                <w:color w:val="000000"/>
                <w:szCs w:val="22"/>
                <w:lang w:eastAsia="en-GB"/>
              </w:rPr>
            </w:pPr>
            <w:r>
              <w:rPr>
                <w:lang w:eastAsia="en-GB"/>
              </w:rPr>
              <w:t>Yes. The current system of tariffs and tops ups allows for the required redistribution of business rates income across the country.</w:t>
            </w:r>
          </w:p>
        </w:tc>
      </w:tr>
    </w:tbl>
    <w:p w14:paraId="5C92CD0E" w14:textId="6B4108DB" w:rsidR="00C61BCE" w:rsidRDefault="00C16649" w:rsidP="00C16649">
      <w:pPr>
        <w:pStyle w:val="Heading3"/>
      </w:pPr>
      <w:r>
        <w:t>Impact of revaluations</w:t>
      </w:r>
    </w:p>
    <w:p w14:paraId="13B831EC" w14:textId="5D9F98F3" w:rsidR="00C16649" w:rsidRDefault="00C16649" w:rsidP="00FA7973">
      <w:pPr>
        <w:pStyle w:val="aaa"/>
        <w:keepNext w:val="0"/>
        <w:widowControl w:val="0"/>
      </w:pPr>
      <w:r>
        <w:t xml:space="preserve">The government propose to use the same approach planned for 2017 in future revaluations i.e. adjust top up / tariff amounts to make revaluation revenue neutral. </w:t>
      </w:r>
    </w:p>
    <w:tbl>
      <w:tblPr>
        <w:tblStyle w:val="TableGrid"/>
        <w:tblW w:w="0" w:type="auto"/>
        <w:tblInd w:w="11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9316"/>
      </w:tblGrid>
      <w:tr w:rsidR="00C61BCE" w:rsidRPr="00F65D14" w14:paraId="14798CFB" w14:textId="77777777" w:rsidTr="006B783C">
        <w:tc>
          <w:tcPr>
            <w:tcW w:w="9316" w:type="dxa"/>
            <w:shd w:val="clear" w:color="auto" w:fill="F2F2F2" w:themeFill="background1" w:themeFillShade="F2"/>
          </w:tcPr>
          <w:p w14:paraId="0A3AFFF2" w14:textId="77777777" w:rsidR="00C61BCE" w:rsidRPr="00F65D14" w:rsidRDefault="00C61BCE" w:rsidP="00FA797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10: Should we continue to adjust retained incomes for individual local authorities to cancel out the effect of future revaluations?</w:t>
            </w:r>
          </w:p>
        </w:tc>
      </w:tr>
      <w:tr w:rsidR="00177C42" w:rsidRPr="00F65D14" w14:paraId="3D83D6D5" w14:textId="77777777" w:rsidTr="00177C42">
        <w:tc>
          <w:tcPr>
            <w:tcW w:w="9316" w:type="dxa"/>
            <w:shd w:val="clear" w:color="auto" w:fill="DBE5F1" w:themeFill="accent1" w:themeFillTint="33"/>
          </w:tcPr>
          <w:p w14:paraId="500A2A1C" w14:textId="31F02329" w:rsidR="005B24F0" w:rsidRPr="005B24F0" w:rsidRDefault="005B24F0" w:rsidP="005B24F0">
            <w:pPr>
              <w:rPr>
                <w:i/>
                <w:lang w:eastAsia="en-GB"/>
              </w:rPr>
            </w:pPr>
            <w:r w:rsidRPr="005B24F0">
              <w:rPr>
                <w:i/>
                <w:lang w:eastAsia="en-GB"/>
              </w:rPr>
              <w:t>There may be certain districts that could gai</w:t>
            </w:r>
            <w:r>
              <w:rPr>
                <w:i/>
                <w:lang w:eastAsia="en-GB"/>
              </w:rPr>
              <w:t>n fro</w:t>
            </w:r>
            <w:r w:rsidRPr="005B24F0">
              <w:rPr>
                <w:i/>
                <w:lang w:eastAsia="en-GB"/>
              </w:rPr>
              <w:t>m this (i.e. those where growth in RV will be higher than the national average).  However, the response below is written for the majority that will not (based on the assumption that growth in London’s RV will be significantly higher).  Also, for those</w:t>
            </w:r>
            <w:r>
              <w:rPr>
                <w:i/>
                <w:lang w:eastAsia="en-GB"/>
              </w:rPr>
              <w:t xml:space="preserve"> </w:t>
            </w:r>
            <w:r w:rsidRPr="005B24F0">
              <w:rPr>
                <w:i/>
                <w:lang w:eastAsia="en-GB"/>
              </w:rPr>
              <w:t>that are above the national average, the complexity that allowing growth to be kept form revaluations would bring, may be unwanted.</w:t>
            </w:r>
          </w:p>
          <w:p w14:paraId="14805D73" w14:textId="77777777" w:rsidR="00177C42" w:rsidRDefault="00177C42" w:rsidP="00177C42">
            <w:pPr>
              <w:widowControl w:val="0"/>
              <w:autoSpaceDE w:val="0"/>
              <w:autoSpaceDN w:val="0"/>
              <w:adjustRightInd w:val="0"/>
              <w:spacing w:before="240" w:after="240" w:line="240" w:lineRule="auto"/>
              <w:rPr>
                <w:b/>
                <w:lang w:eastAsia="en-GB"/>
              </w:rPr>
            </w:pPr>
            <w:r w:rsidRPr="00DE69E3">
              <w:rPr>
                <w:b/>
                <w:lang w:eastAsia="en-GB"/>
              </w:rPr>
              <w:t>Potential view of SDCT</w:t>
            </w:r>
          </w:p>
          <w:p w14:paraId="37150C40" w14:textId="69968F73" w:rsidR="00177C42" w:rsidRPr="00F65D14" w:rsidRDefault="005B24F0" w:rsidP="005B24F0">
            <w:pPr>
              <w:rPr>
                <w:rFonts w:cs="Arial"/>
                <w:bCs/>
                <w:iCs/>
                <w:color w:val="000000"/>
                <w:szCs w:val="22"/>
                <w:lang w:eastAsia="en-GB"/>
              </w:rPr>
            </w:pPr>
            <w:r>
              <w:rPr>
                <w:lang w:eastAsia="en-GB"/>
              </w:rPr>
              <w:t>The scheme already allows authorities to gain from business rates growth. If revaluation is to remain revenue neutral nationally (through the current practice of adjusting the multiplier value) then gains made by authorities will be at the expense of losses elsewhere.  This will mean business rates income becomes a relative amount, with gains dependent on whether local changes in RV are above or below the national average.  This will increase the complexity of the system and reduce the incentive to authorities, as local taxbase growth (and the gains that could be expected) may be undermined by changes in RV elsewhere in the country.</w:t>
            </w:r>
          </w:p>
        </w:tc>
      </w:tr>
    </w:tbl>
    <w:p w14:paraId="06D18987" w14:textId="21526130" w:rsidR="00C61BCE" w:rsidRDefault="00C16649" w:rsidP="00C16649">
      <w:pPr>
        <w:pStyle w:val="Heading3"/>
      </w:pPr>
      <w:r>
        <w:t>Combined Authorities and directly elected Mayors</w:t>
      </w:r>
    </w:p>
    <w:p w14:paraId="4EBB86E8" w14:textId="6D208494" w:rsidR="00C16649" w:rsidRDefault="00C16649" w:rsidP="00FA7973">
      <w:pPr>
        <w:pStyle w:val="aaa"/>
        <w:keepNext w:val="0"/>
        <w:widowControl w:val="0"/>
      </w:pPr>
      <w:r>
        <w:t>The paper discusses the following options to provide an enhanced role for Combined Authorities and directly elected Mayors in achieving growth under 100% BRR:</w:t>
      </w:r>
    </w:p>
    <w:p w14:paraId="2C88A4AF" w14:textId="1C5BEA92" w:rsidR="00C16649" w:rsidRDefault="006A2484" w:rsidP="00C16649">
      <w:pPr>
        <w:pStyle w:val="Style15"/>
      </w:pPr>
      <w:r>
        <w:t>How “growth” should be redistributed</w:t>
      </w:r>
      <w:r w:rsidR="00BD4761">
        <w:t>.</w:t>
      </w:r>
    </w:p>
    <w:p w14:paraId="5FEB657A" w14:textId="0D42A847" w:rsidR="006A2484" w:rsidRDefault="006A2484" w:rsidP="00C16649">
      <w:pPr>
        <w:pStyle w:val="Style15"/>
      </w:pPr>
      <w:r>
        <w:t>Whether a single area wide Baseline Need figure should be given, with local governance arrangements for allocating all resources</w:t>
      </w:r>
      <w:r w:rsidR="00BD4761">
        <w:t>.</w:t>
      </w:r>
    </w:p>
    <w:p w14:paraId="0C0B0C9D" w14:textId="513E58F9" w:rsidR="006A2484" w:rsidRDefault="006A2484" w:rsidP="00C16649">
      <w:pPr>
        <w:pStyle w:val="Style15"/>
      </w:pPr>
      <w:r>
        <w:t>A role in determining the Baseline Need figure</w:t>
      </w:r>
      <w:r w:rsidR="00BD4761">
        <w:t>.</w:t>
      </w:r>
      <w:r>
        <w:t xml:space="preserve"> </w:t>
      </w:r>
    </w:p>
    <w:p w14:paraId="185077A6" w14:textId="4F67F609" w:rsidR="006A2484" w:rsidRDefault="006A2484" w:rsidP="006A2484">
      <w:pPr>
        <w:pStyle w:val="aaa"/>
      </w:pPr>
      <w:r>
        <w:t>The second of these op</w:t>
      </w:r>
      <w:r w:rsidR="00BD4761">
        <w:t xml:space="preserve">tions would mean </w:t>
      </w:r>
      <w:r>
        <w:t xml:space="preserve">Combined Authorities having certain area wide responsibilities and receiving a Baseline </w:t>
      </w:r>
      <w:r w:rsidR="0075696A">
        <w:t>N</w:t>
      </w:r>
      <w:r>
        <w:t xml:space="preserve">eed amount to reflect the need to fund the responsibilities.  The authority would then receive a local share of business rates income (e.g. </w:t>
      </w:r>
      <w:r>
        <w:lastRenderedPageBreak/>
        <w:t xml:space="preserve">10%) with a top up or tariff amount used to adjust the figure.  This would be similar to the current arrangement for the GLA, county and fire services. </w:t>
      </w:r>
    </w:p>
    <w:p w14:paraId="3A09BE71" w14:textId="00F63FBC" w:rsidR="006A2484" w:rsidRDefault="006A2484" w:rsidP="006A2484">
      <w:pPr>
        <w:pStyle w:val="aaa"/>
      </w:pPr>
      <w:r>
        <w:t xml:space="preserve">This would then give the Combined Authority a link to business rates income (and therefore growth / decline) and potentially a co-ordinating role on area wide issues such as economic development.  </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16"/>
      </w:tblGrid>
      <w:tr w:rsidR="00C61BCE" w:rsidRPr="00F65D14" w14:paraId="39AA8EF6" w14:textId="77777777" w:rsidTr="006B783C">
        <w:tc>
          <w:tcPr>
            <w:tcW w:w="93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6223727" w14:textId="77777777" w:rsidR="00C61BCE" w:rsidRPr="00F65D14" w:rsidRDefault="00C61BCE" w:rsidP="00FA797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11: Should Mayoral Combined Authority areas have the opportunity to be given additional powers and incentives, as set out above?</w:t>
            </w:r>
          </w:p>
        </w:tc>
      </w:tr>
      <w:tr w:rsidR="00177C42" w:rsidRPr="00F65D14" w14:paraId="6F19F6B5" w14:textId="77777777" w:rsidTr="00177C42">
        <w:tc>
          <w:tcPr>
            <w:tcW w:w="93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14:paraId="4825D99B" w14:textId="55870021" w:rsidR="00177C42" w:rsidRPr="005D7ACE" w:rsidRDefault="00177C42" w:rsidP="005D7ACE">
            <w:pPr>
              <w:widowControl w:val="0"/>
              <w:autoSpaceDE w:val="0"/>
              <w:autoSpaceDN w:val="0"/>
              <w:adjustRightInd w:val="0"/>
              <w:spacing w:before="240" w:after="240" w:line="240" w:lineRule="auto"/>
              <w:rPr>
                <w:b/>
                <w:lang w:eastAsia="en-GB"/>
              </w:rPr>
            </w:pPr>
          </w:p>
        </w:tc>
      </w:tr>
    </w:tbl>
    <w:p w14:paraId="365E2776" w14:textId="28CC4225" w:rsidR="00C61BCE" w:rsidRDefault="00C26FA7" w:rsidP="00C26FA7">
      <w:pPr>
        <w:pStyle w:val="Heading3"/>
      </w:pPr>
      <w:r>
        <w:t>Tier Splits</w:t>
      </w:r>
    </w:p>
    <w:p w14:paraId="4AD115AD" w14:textId="7BA4EBC8" w:rsidR="00C26FA7" w:rsidRDefault="00C26FA7" w:rsidP="00C26FA7">
      <w:pPr>
        <w:pStyle w:val="Level2"/>
      </w:pPr>
      <w:r>
        <w:t xml:space="preserve">The paper states that further consideration is required on the final splits for 100%, with these being in part subject to which responsibilities are rolled in.   This reference to new responsibilities rolled in coupled with the desire to minimise top ups and tariffs may be indicative of an approach where splits are more aligned with expenditure.  This is not the case under the current system in two tier areas i.e. districts received 80% of the local share and counties only 20%, whereas expenditure is typically more than a 4 to 1 ratio the other way.  </w:t>
      </w:r>
    </w:p>
    <w:tbl>
      <w:tblPr>
        <w:tblStyle w:val="TableGrid"/>
        <w:tblW w:w="0" w:type="auto"/>
        <w:tblInd w:w="11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9316"/>
      </w:tblGrid>
      <w:tr w:rsidR="00C61BCE" w:rsidRPr="00F65D14" w14:paraId="00C2FF4B" w14:textId="77777777" w:rsidTr="006B783C">
        <w:tc>
          <w:tcPr>
            <w:tcW w:w="9316" w:type="dxa"/>
            <w:shd w:val="clear" w:color="auto" w:fill="F2F2F2" w:themeFill="background1" w:themeFillShade="F2"/>
          </w:tcPr>
          <w:p w14:paraId="5F3B4B42" w14:textId="77777777" w:rsidR="00C61BCE" w:rsidRPr="00F65D14" w:rsidRDefault="00C61BCE" w:rsidP="00FA797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12: What has your experience been of the tier splits unde</w:t>
            </w:r>
            <w:r w:rsidRPr="006B783C">
              <w:rPr>
                <w:rFonts w:cs="Arial"/>
                <w:bCs/>
                <w:iCs/>
                <w:color w:val="000000"/>
                <w:szCs w:val="22"/>
                <w:bdr w:val="single" w:sz="4" w:space="0" w:color="FFFFFF" w:themeColor="background1"/>
                <w:lang w:eastAsia="en-GB"/>
              </w:rPr>
              <w:t>r</w:t>
            </w:r>
            <w:r w:rsidRPr="00F65D14">
              <w:rPr>
                <w:rFonts w:cs="Arial"/>
                <w:bCs/>
                <w:iCs/>
                <w:color w:val="000000"/>
                <w:szCs w:val="22"/>
                <w:lang w:eastAsia="en-GB"/>
              </w:rPr>
              <w:t xml:space="preserve"> the current 50% rates retention scheme? What changes would you want to see under 100% rates retention system?</w:t>
            </w:r>
          </w:p>
        </w:tc>
      </w:tr>
      <w:tr w:rsidR="00177C42" w:rsidRPr="00F65D14" w14:paraId="071E0DEB" w14:textId="77777777" w:rsidTr="00177C42">
        <w:tc>
          <w:tcPr>
            <w:tcW w:w="9316" w:type="dxa"/>
            <w:shd w:val="clear" w:color="auto" w:fill="DBE5F1" w:themeFill="accent1" w:themeFillTint="33"/>
          </w:tcPr>
          <w:p w14:paraId="5B7087FE" w14:textId="3EFAC052" w:rsidR="00177C42" w:rsidRPr="00993569" w:rsidRDefault="005D7ACE" w:rsidP="005D7ACE">
            <w:pPr>
              <w:rPr>
                <w:i/>
                <w:lang w:eastAsia="en-GB"/>
              </w:rPr>
            </w:pPr>
            <w:r w:rsidRPr="00993569">
              <w:rPr>
                <w:i/>
                <w:lang w:eastAsia="en-GB"/>
              </w:rPr>
              <w:t xml:space="preserve">The tier splits issue is contentious.  For districts that feel that they will gain from business rates post Reset (and these may not be the same as those that are gaining now), they would want their share to increase from 40% (or at worst stay the same).  Whereas those that feel they would rather have less risk / reward may want to suggest a lower percentage would be better (to align better with Baseline Need). </w:t>
            </w:r>
          </w:p>
        </w:tc>
      </w:tr>
    </w:tbl>
    <w:p w14:paraId="551C9F66" w14:textId="42F40281" w:rsidR="00C61BCE" w:rsidRDefault="0069799F" w:rsidP="00C26FA7">
      <w:pPr>
        <w:pStyle w:val="aaa"/>
      </w:pPr>
      <w:r>
        <w:t xml:space="preserve">With the </w:t>
      </w:r>
      <w:r w:rsidR="0075696A">
        <w:t xml:space="preserve">future </w:t>
      </w:r>
      <w:r>
        <w:t xml:space="preserve">potential for the responsibilities for fire to be taken on by Police and Crime Commissioners </w:t>
      </w:r>
      <w:r w:rsidR="0075696A">
        <w:t xml:space="preserve">driven by new legislation </w:t>
      </w:r>
      <w:r>
        <w:t xml:space="preserve">the paper asks whether fire authorities should remain part of the business rates retention scheme (as police funding is not part of the scheme).  The paper does not discuss the potential for police funding to become part of the scheme.  </w:t>
      </w:r>
    </w:p>
    <w:tbl>
      <w:tblPr>
        <w:tblStyle w:val="TableGrid"/>
        <w:tblW w:w="0" w:type="auto"/>
        <w:tblInd w:w="11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9316"/>
      </w:tblGrid>
      <w:tr w:rsidR="00C61BCE" w:rsidRPr="00F65D14" w14:paraId="4F96005D" w14:textId="77777777" w:rsidTr="006B783C">
        <w:tc>
          <w:tcPr>
            <w:tcW w:w="9316" w:type="dxa"/>
            <w:shd w:val="clear" w:color="auto" w:fill="F2F2F2" w:themeFill="background1" w:themeFillShade="F2"/>
          </w:tcPr>
          <w:p w14:paraId="53C88B54" w14:textId="77777777" w:rsidR="00C61BCE" w:rsidRPr="00F65D14" w:rsidRDefault="00C61BCE" w:rsidP="00FA797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13: Do you consider that fire funding should be removed from the business rates retention scheme and what might be the advantages and disadvantages of this approach?</w:t>
            </w:r>
          </w:p>
        </w:tc>
      </w:tr>
      <w:tr w:rsidR="00177C42" w:rsidRPr="00F65D14" w14:paraId="07D46049" w14:textId="77777777" w:rsidTr="00177C42">
        <w:tc>
          <w:tcPr>
            <w:tcW w:w="9316" w:type="dxa"/>
            <w:shd w:val="clear" w:color="auto" w:fill="DBE5F1" w:themeFill="accent1" w:themeFillTint="33"/>
          </w:tcPr>
          <w:p w14:paraId="78EC4205" w14:textId="6EE7AA16" w:rsidR="005D7ACE" w:rsidRDefault="005D7ACE" w:rsidP="005D7ACE">
            <w:pPr>
              <w:rPr>
                <w:lang w:eastAsia="en-GB"/>
              </w:rPr>
            </w:pPr>
            <w:r>
              <w:rPr>
                <w:lang w:eastAsia="en-GB"/>
              </w:rPr>
              <w:t xml:space="preserve">The response below is made from a practical perspective, rather than from any gain or loss in funding that may result (which would be minimal anyway). </w:t>
            </w:r>
          </w:p>
          <w:p w14:paraId="31D72701" w14:textId="77777777" w:rsidR="00177C42" w:rsidRDefault="00177C42" w:rsidP="00177C42">
            <w:pPr>
              <w:widowControl w:val="0"/>
              <w:autoSpaceDE w:val="0"/>
              <w:autoSpaceDN w:val="0"/>
              <w:adjustRightInd w:val="0"/>
              <w:spacing w:before="240" w:after="240" w:line="240" w:lineRule="auto"/>
              <w:rPr>
                <w:b/>
                <w:lang w:eastAsia="en-GB"/>
              </w:rPr>
            </w:pPr>
            <w:r w:rsidRPr="00DE69E3">
              <w:rPr>
                <w:b/>
                <w:lang w:eastAsia="en-GB"/>
              </w:rPr>
              <w:t>Potential view of SDCT</w:t>
            </w:r>
          </w:p>
          <w:p w14:paraId="230E95A1" w14:textId="6481BB80" w:rsidR="00177C42" w:rsidRDefault="005D7ACE" w:rsidP="005D7ACE">
            <w:pPr>
              <w:rPr>
                <w:lang w:eastAsia="en-GB"/>
              </w:rPr>
            </w:pPr>
            <w:r>
              <w:rPr>
                <w:lang w:eastAsia="en-GB"/>
              </w:rPr>
              <w:lastRenderedPageBreak/>
              <w:t>The exclusion of fire funding from the business rates retention scheme would assist in reducing the complexity of the scheme.  For the small amounts involved, it creates unnecessary work for billing and precepting authorities in (i) making payments, (ii) communicating budget monitoring and (</w:t>
            </w:r>
            <w:r w:rsidR="00993569">
              <w:rPr>
                <w:lang w:eastAsia="en-GB"/>
              </w:rPr>
              <w:t>i</w:t>
            </w:r>
            <w:r>
              <w:rPr>
                <w:lang w:eastAsia="en-GB"/>
              </w:rPr>
              <w:t xml:space="preserve">ii) final accounts.  </w:t>
            </w:r>
          </w:p>
          <w:p w14:paraId="10FE5375" w14:textId="7D08E92C" w:rsidR="005D7ACE" w:rsidRPr="00F65D14" w:rsidRDefault="005D7ACE" w:rsidP="005D7ACE">
            <w:pPr>
              <w:rPr>
                <w:lang w:eastAsia="en-GB"/>
              </w:rPr>
            </w:pPr>
            <w:r>
              <w:rPr>
                <w:lang w:eastAsia="en-GB"/>
              </w:rPr>
              <w:t xml:space="preserve">Having one less preceptor on business rates would reduce this workload.   </w:t>
            </w:r>
          </w:p>
        </w:tc>
      </w:tr>
    </w:tbl>
    <w:p w14:paraId="461BFB79" w14:textId="32D39FC4" w:rsidR="00C61BCE" w:rsidRDefault="0069799F" w:rsidP="00C26FA7">
      <w:pPr>
        <w:pStyle w:val="aaa"/>
      </w:pPr>
      <w:r>
        <w:lastRenderedPageBreak/>
        <w:t xml:space="preserve">The paper reaffirms the previous announced commitment that Enterprise Zones will remain in place and with the original funding guarantee (100% growth guaranteed for 25 years).  </w:t>
      </w:r>
    </w:p>
    <w:tbl>
      <w:tblPr>
        <w:tblStyle w:val="TableGrid"/>
        <w:tblW w:w="0" w:type="auto"/>
        <w:tblInd w:w="11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9316"/>
      </w:tblGrid>
      <w:tr w:rsidR="00C61BCE" w:rsidRPr="00F65D14" w14:paraId="2A505BB8" w14:textId="77777777" w:rsidTr="006B783C">
        <w:tc>
          <w:tcPr>
            <w:tcW w:w="9316" w:type="dxa"/>
            <w:shd w:val="clear" w:color="auto" w:fill="F2F2F2" w:themeFill="background1" w:themeFillShade="F2"/>
          </w:tcPr>
          <w:p w14:paraId="4898D5D6" w14:textId="77777777" w:rsidR="00C61BCE" w:rsidRPr="00F65D14" w:rsidRDefault="00C61BCE" w:rsidP="00FA797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14: What are your views on how we could further incentivise growth under a 100% retention scheme? Are there additional incentives for growth that we should consider?</w:t>
            </w:r>
          </w:p>
        </w:tc>
      </w:tr>
      <w:tr w:rsidR="00177C42" w:rsidRPr="00F65D14" w14:paraId="4CCCFB47" w14:textId="77777777" w:rsidTr="00177C42">
        <w:tc>
          <w:tcPr>
            <w:tcW w:w="9316" w:type="dxa"/>
            <w:shd w:val="clear" w:color="auto" w:fill="DBE5F1" w:themeFill="accent1" w:themeFillTint="33"/>
          </w:tcPr>
          <w:p w14:paraId="6ED0B133" w14:textId="77777777" w:rsidR="00177C42" w:rsidRDefault="00177C42" w:rsidP="00177C42">
            <w:pPr>
              <w:widowControl w:val="0"/>
              <w:autoSpaceDE w:val="0"/>
              <w:autoSpaceDN w:val="0"/>
              <w:adjustRightInd w:val="0"/>
              <w:spacing w:before="240" w:after="240" w:line="240" w:lineRule="auto"/>
              <w:rPr>
                <w:b/>
                <w:lang w:eastAsia="en-GB"/>
              </w:rPr>
            </w:pPr>
            <w:r w:rsidRPr="00DE69E3">
              <w:rPr>
                <w:b/>
                <w:lang w:eastAsia="en-GB"/>
              </w:rPr>
              <w:t>Potential view of SDCT</w:t>
            </w:r>
          </w:p>
          <w:p w14:paraId="0707AEE3" w14:textId="60031502" w:rsidR="00177C42" w:rsidRPr="00F65D14" w:rsidRDefault="0098465C" w:rsidP="0098465C">
            <w:pPr>
              <w:rPr>
                <w:rFonts w:cs="Arial"/>
                <w:bCs/>
                <w:iCs/>
                <w:color w:val="000000"/>
                <w:szCs w:val="22"/>
                <w:lang w:eastAsia="en-GB"/>
              </w:rPr>
            </w:pPr>
            <w:r>
              <w:t>In order to allow authorities the incentive to invest for growth</w:t>
            </w:r>
            <w:r w:rsidR="00993569">
              <w:t>,</w:t>
            </w:r>
            <w:r>
              <w:t xml:space="preserve"> the scheme should provide some mechanism to safeguard increased business rate revenues for specified areas (in the same was as Enterprise Zones currently).  This would protect the additional resources forecast from being taken at a partial reset, thereby allowing authorities to take a longer term view on investments.  It would also allow Resets to continue to address windfall gains / authorities at the safety net (as per Q8 above).</w:t>
            </w:r>
          </w:p>
        </w:tc>
      </w:tr>
    </w:tbl>
    <w:p w14:paraId="41E2BF8B" w14:textId="1334B1FF" w:rsidR="0069799F" w:rsidRDefault="0069799F" w:rsidP="0069799F">
      <w:pPr>
        <w:pStyle w:val="Heading3"/>
      </w:pPr>
      <w:r>
        <w:t>Sharing Risk</w:t>
      </w:r>
    </w:p>
    <w:p w14:paraId="6A0F7FCE" w14:textId="77777777" w:rsidR="0069799F" w:rsidRDefault="0069799F" w:rsidP="0069799F">
      <w:pPr>
        <w:pStyle w:val="aaa"/>
      </w:pPr>
      <w:r>
        <w:t xml:space="preserve">The government is seeking views as to how best manage the risk of income volatility under 100% BRR.  </w:t>
      </w:r>
    </w:p>
    <w:p w14:paraId="1B0B2DEF" w14:textId="6D85E403" w:rsidR="0069799F" w:rsidRDefault="0069799F" w:rsidP="0069799F">
      <w:pPr>
        <w:pStyle w:val="aaa"/>
      </w:pPr>
      <w:r>
        <w:t xml:space="preserve">It identifies </w:t>
      </w:r>
      <w:r w:rsidR="00A177EC">
        <w:t xml:space="preserve">that </w:t>
      </w:r>
      <w:r>
        <w:t xml:space="preserve">income volatility occurs </w:t>
      </w:r>
      <w:r w:rsidR="00A177EC">
        <w:t xml:space="preserve">both </w:t>
      </w:r>
      <w:r>
        <w:t xml:space="preserve">due to </w:t>
      </w:r>
      <w:r w:rsidR="00A177EC">
        <w:t xml:space="preserve">i) </w:t>
      </w:r>
      <w:r>
        <w:t xml:space="preserve">appeals and </w:t>
      </w:r>
      <w:r w:rsidR="00A177EC">
        <w:t xml:space="preserve">ii) </w:t>
      </w:r>
      <w:r>
        <w:t>businesses entering or leaving the taxbase.  Under 50% BRR</w:t>
      </w:r>
      <w:r w:rsidR="00A177EC">
        <w:t>,</w:t>
      </w:r>
      <w:r>
        <w:t xml:space="preserve"> risk is man</w:t>
      </w:r>
      <w:r w:rsidR="00A177EC">
        <w:t>a</w:t>
      </w:r>
      <w:r>
        <w:t>ged via appeals provisions and the safety net.  The potential to manage</w:t>
      </w:r>
      <w:r w:rsidR="00A177EC">
        <w:t xml:space="preserve"> the risk arising from</w:t>
      </w:r>
      <w:r>
        <w:t xml:space="preserve"> appeal</w:t>
      </w:r>
      <w:r w:rsidR="00A177EC">
        <w:t xml:space="preserve">s </w:t>
      </w:r>
      <w:r w:rsidR="00BD4761">
        <w:t xml:space="preserve">and the operation of a safety net </w:t>
      </w:r>
      <w:r>
        <w:t xml:space="preserve">at a </w:t>
      </w:r>
      <w:r w:rsidR="00A177EC">
        <w:t xml:space="preserve">sub national </w:t>
      </w:r>
      <w:r>
        <w:t xml:space="preserve">level could be </w:t>
      </w:r>
      <w:r w:rsidR="00BD4761">
        <w:t xml:space="preserve">potentially be introduced </w:t>
      </w:r>
      <w:r>
        <w:t xml:space="preserve">under 100% BRR. </w:t>
      </w:r>
      <w:r w:rsidR="000918E3">
        <w:t xml:space="preserve"> The paper includes suggestions </w:t>
      </w:r>
      <w:r w:rsidR="00A177EC">
        <w:t xml:space="preserve">that have been </w:t>
      </w:r>
      <w:r w:rsidR="000918E3">
        <w:t>made to government as to how this could be achieved i.e.</w:t>
      </w:r>
    </w:p>
    <w:p w14:paraId="63717C6B" w14:textId="07E9FC8B" w:rsidR="000918E3" w:rsidRDefault="000918E3" w:rsidP="000918E3">
      <w:pPr>
        <w:pStyle w:val="Style15"/>
      </w:pPr>
      <w:r>
        <w:t>Removing higher risk items (e.g. power stations) from local lists</w:t>
      </w:r>
      <w:r w:rsidR="00A177EC">
        <w:t>;</w:t>
      </w:r>
    </w:p>
    <w:p w14:paraId="150D4AA0" w14:textId="0F6E576C" w:rsidR="000918E3" w:rsidRDefault="000918E3" w:rsidP="000918E3">
      <w:pPr>
        <w:pStyle w:val="Style15"/>
      </w:pPr>
      <w:r>
        <w:t xml:space="preserve">Placing higher risk items at a regional level (so that risks are spread, but the incentive for growth is still retained within a region). </w:t>
      </w:r>
    </w:p>
    <w:p w14:paraId="13BEFA1A" w14:textId="2761A23B" w:rsidR="000918E3" w:rsidRDefault="000918E3" w:rsidP="0069799F">
      <w:pPr>
        <w:pStyle w:val="aaa"/>
      </w:pPr>
      <w:r>
        <w:t xml:space="preserve">The second of these options would create a three tier list </w:t>
      </w:r>
      <w:r w:rsidR="00A177EC">
        <w:t>as o</w:t>
      </w:r>
      <w:r>
        <w:t>pposed to the current two tier</w:t>
      </w:r>
      <w:r w:rsidR="00A177EC">
        <w:t>s</w:t>
      </w:r>
      <w:r>
        <w:t xml:space="preserve"> i.e. central and local, th</w:t>
      </w:r>
      <w:r w:rsidR="00A177EC">
        <w:t>ese</w:t>
      </w:r>
      <w:r>
        <w:t xml:space="preserve"> being:</w:t>
      </w:r>
    </w:p>
    <w:p w14:paraId="39CB33A8" w14:textId="60959EF6" w:rsidR="000918E3" w:rsidRDefault="000918E3" w:rsidP="000918E3">
      <w:pPr>
        <w:pStyle w:val="aaa"/>
        <w:numPr>
          <w:ilvl w:val="0"/>
          <w:numId w:val="0"/>
        </w:numPr>
        <w:ind w:left="1200"/>
      </w:pPr>
      <w:r>
        <w:t>Local List – as now (with riskier items transferred to an Area list)</w:t>
      </w:r>
    </w:p>
    <w:p w14:paraId="6285EFBD" w14:textId="2AF0D315" w:rsidR="000918E3" w:rsidRDefault="000918E3" w:rsidP="000918E3">
      <w:pPr>
        <w:pStyle w:val="aaa"/>
        <w:numPr>
          <w:ilvl w:val="0"/>
          <w:numId w:val="0"/>
        </w:numPr>
        <w:ind w:left="1200"/>
      </w:pPr>
      <w:r>
        <w:t>Central List – as now</w:t>
      </w:r>
    </w:p>
    <w:p w14:paraId="622426AD" w14:textId="15D4DC86" w:rsidR="000918E3" w:rsidRDefault="000918E3" w:rsidP="000918E3">
      <w:pPr>
        <w:pStyle w:val="aaa"/>
        <w:numPr>
          <w:ilvl w:val="0"/>
          <w:numId w:val="0"/>
        </w:numPr>
        <w:ind w:left="1200"/>
      </w:pPr>
      <w:r>
        <w:t xml:space="preserve">Area List – for Combined authorities that would include the riskier items transferred from local lists.  This would be different to the current arrangements for multi-tier areas (where a percentage </w:t>
      </w:r>
      <w:r>
        <w:lastRenderedPageBreak/>
        <w:t xml:space="preserve">of all rates is paid upwards), with income from specific lines paid upwards instead.  How this would work in terms of which body would determine an appeal provision for example would need to be determined e.g. the cash flow implications on district councils of power station appeals can be significant.  </w:t>
      </w:r>
    </w:p>
    <w:tbl>
      <w:tblPr>
        <w:tblStyle w:val="TableGrid"/>
        <w:tblW w:w="0" w:type="auto"/>
        <w:tblInd w:w="11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9316"/>
      </w:tblGrid>
      <w:tr w:rsidR="00C61BCE" w:rsidRPr="00F65D14" w14:paraId="67253CC6" w14:textId="77777777" w:rsidTr="006B783C">
        <w:tc>
          <w:tcPr>
            <w:tcW w:w="9316" w:type="dxa"/>
            <w:shd w:val="clear" w:color="auto" w:fill="F2F2F2" w:themeFill="background1" w:themeFillShade="F2"/>
          </w:tcPr>
          <w:p w14:paraId="67DB67AD" w14:textId="77777777" w:rsidR="00C61BCE" w:rsidRPr="00F65D14" w:rsidRDefault="00C61BCE" w:rsidP="00FA7973">
            <w:pPr>
              <w:widowControl w:val="0"/>
              <w:autoSpaceDE w:val="0"/>
              <w:autoSpaceDN w:val="0"/>
              <w:adjustRightInd w:val="0"/>
              <w:spacing w:before="240" w:after="240" w:line="240" w:lineRule="auto"/>
              <w:rPr>
                <w:rFonts w:cs="Arial"/>
                <w:color w:val="000000"/>
                <w:szCs w:val="22"/>
                <w:lang w:eastAsia="en-GB"/>
              </w:rPr>
            </w:pPr>
            <w:r w:rsidRPr="00F65D14">
              <w:rPr>
                <w:rFonts w:cs="Arial"/>
                <w:bCs/>
                <w:iCs/>
                <w:color w:val="000000"/>
                <w:szCs w:val="22"/>
                <w:lang w:eastAsia="en-GB"/>
              </w:rPr>
              <w:t>Question 15: Would it be helpful to move some of the ‘riskier’ hereditaments off local lists? If so, what type of hereditaments should be moved?</w:t>
            </w:r>
          </w:p>
        </w:tc>
      </w:tr>
      <w:tr w:rsidR="00177C42" w:rsidRPr="00F65D14" w14:paraId="6807D5ED" w14:textId="77777777" w:rsidTr="00177C42">
        <w:tc>
          <w:tcPr>
            <w:tcW w:w="9316" w:type="dxa"/>
            <w:shd w:val="clear" w:color="auto" w:fill="DBE5F1" w:themeFill="accent1" w:themeFillTint="33"/>
          </w:tcPr>
          <w:p w14:paraId="3FEEC826" w14:textId="2A538E87" w:rsidR="0098465C" w:rsidRPr="0098465C" w:rsidRDefault="0098465C" w:rsidP="0098465C">
            <w:pPr>
              <w:rPr>
                <w:i/>
                <w:lang w:eastAsia="en-GB"/>
              </w:rPr>
            </w:pPr>
            <w:r w:rsidRPr="0098465C">
              <w:rPr>
                <w:i/>
                <w:lang w:eastAsia="en-GB"/>
              </w:rPr>
              <w:t xml:space="preserve">Certain districts (that believe they will benefit from Power stations etc) may have the opposite view from below.  However, for the majority of districts I believe the response is sensible.   </w:t>
            </w:r>
          </w:p>
          <w:p w14:paraId="0FA6E17B" w14:textId="77777777" w:rsidR="00177C42" w:rsidRDefault="00177C42" w:rsidP="00177C42">
            <w:pPr>
              <w:widowControl w:val="0"/>
              <w:autoSpaceDE w:val="0"/>
              <w:autoSpaceDN w:val="0"/>
              <w:adjustRightInd w:val="0"/>
              <w:spacing w:before="240" w:after="240" w:line="240" w:lineRule="auto"/>
              <w:rPr>
                <w:b/>
                <w:lang w:eastAsia="en-GB"/>
              </w:rPr>
            </w:pPr>
            <w:r w:rsidRPr="00DE69E3">
              <w:rPr>
                <w:b/>
                <w:lang w:eastAsia="en-GB"/>
              </w:rPr>
              <w:t>Potential view of SDCT</w:t>
            </w:r>
          </w:p>
          <w:p w14:paraId="6CAB9A71" w14:textId="7149E310" w:rsidR="0098465C" w:rsidRDefault="0098465C" w:rsidP="0098465C">
            <w:pPr>
              <w:rPr>
                <w:lang w:eastAsia="en-GB"/>
              </w:rPr>
            </w:pPr>
            <w:r>
              <w:rPr>
                <w:lang w:eastAsia="en-GB"/>
              </w:rPr>
              <w:t>The increased variability of large hereditaments, such as power stations, has led to some authorities losing and others gaining; depending on factors such as when the power stations were turned off</w:t>
            </w:r>
            <w:r w:rsidR="00993569">
              <w:rPr>
                <w:lang w:eastAsia="en-GB"/>
              </w:rPr>
              <w:t>,</w:t>
            </w:r>
            <w:r>
              <w:rPr>
                <w:lang w:eastAsia="en-GB"/>
              </w:rPr>
              <w:t xml:space="preserve"> when the baseline was set and subsequent appeals.  These gains and losses are not the result of local actions. For this reason, hereditaments of this nature should be removed from authorities’ lists.  </w:t>
            </w:r>
          </w:p>
          <w:p w14:paraId="0E50D4AB" w14:textId="77777777" w:rsidR="0098465C" w:rsidRPr="00E709FB" w:rsidRDefault="0098465C" w:rsidP="0098465C">
            <w:pPr>
              <w:rPr>
                <w:i/>
                <w:lang w:eastAsia="en-GB"/>
              </w:rPr>
            </w:pPr>
            <w:r w:rsidRPr="00E709FB">
              <w:rPr>
                <w:i/>
                <w:lang w:eastAsia="en-GB"/>
              </w:rPr>
              <w:t>&gt;&gt;&gt; depending on the view locally . . .</w:t>
            </w:r>
          </w:p>
          <w:p w14:paraId="548AB328" w14:textId="4DFB6216" w:rsidR="00177C42" w:rsidRPr="00F65D14" w:rsidRDefault="0098465C" w:rsidP="0098465C">
            <w:pPr>
              <w:rPr>
                <w:rFonts w:cs="Arial"/>
                <w:bCs/>
                <w:iCs/>
                <w:color w:val="000000"/>
                <w:szCs w:val="22"/>
                <w:lang w:eastAsia="en-GB"/>
              </w:rPr>
            </w:pPr>
            <w:r>
              <w:rPr>
                <w:lang w:eastAsia="en-GB"/>
              </w:rPr>
              <w:t xml:space="preserve">However, to include them on regional lists or at a combined authority level may be appropriate, given the role the combined authority may play in securing growth / attracting such developments.  </w:t>
            </w:r>
          </w:p>
        </w:tc>
      </w:tr>
      <w:tr w:rsidR="00C61BCE" w:rsidRPr="00F65D14" w14:paraId="0ABCB7E2" w14:textId="77777777" w:rsidTr="006B783C">
        <w:tc>
          <w:tcPr>
            <w:tcW w:w="9316" w:type="dxa"/>
            <w:shd w:val="clear" w:color="auto" w:fill="F2F2F2" w:themeFill="background1" w:themeFillShade="F2"/>
          </w:tcPr>
          <w:p w14:paraId="1A996B79" w14:textId="77777777" w:rsidR="00C61BCE" w:rsidRPr="00F65D14" w:rsidRDefault="00C61BCE" w:rsidP="00FA797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16: Would you support the idea of introducing area level lists in Combined Authority areas? If so, what type of properties could sit on these lists, and how should income be used? Could this approach work for other authorities?</w:t>
            </w:r>
          </w:p>
        </w:tc>
      </w:tr>
      <w:tr w:rsidR="00177C42" w:rsidRPr="00F65D14" w14:paraId="663C5501" w14:textId="77777777" w:rsidTr="00177C42">
        <w:tc>
          <w:tcPr>
            <w:tcW w:w="9316" w:type="dxa"/>
            <w:shd w:val="clear" w:color="auto" w:fill="DBE5F1" w:themeFill="accent1" w:themeFillTint="33"/>
          </w:tcPr>
          <w:p w14:paraId="3395FEA6" w14:textId="77777777" w:rsidR="00177C42" w:rsidRDefault="00177C42" w:rsidP="00177C42">
            <w:pPr>
              <w:widowControl w:val="0"/>
              <w:autoSpaceDE w:val="0"/>
              <w:autoSpaceDN w:val="0"/>
              <w:adjustRightInd w:val="0"/>
              <w:spacing w:before="240" w:after="240" w:line="240" w:lineRule="auto"/>
              <w:rPr>
                <w:b/>
                <w:lang w:eastAsia="en-GB"/>
              </w:rPr>
            </w:pPr>
            <w:r w:rsidRPr="00DE69E3">
              <w:rPr>
                <w:b/>
                <w:lang w:eastAsia="en-GB"/>
              </w:rPr>
              <w:t>Potential view of SDCT</w:t>
            </w:r>
          </w:p>
          <w:p w14:paraId="5B32B077" w14:textId="77777777" w:rsidR="0098465C" w:rsidRPr="00E709FB" w:rsidRDefault="0098465C" w:rsidP="0098465C">
            <w:pPr>
              <w:rPr>
                <w:i/>
                <w:lang w:eastAsia="en-GB"/>
              </w:rPr>
            </w:pPr>
            <w:r w:rsidRPr="00E709FB">
              <w:rPr>
                <w:i/>
                <w:lang w:eastAsia="en-GB"/>
              </w:rPr>
              <w:t>&gt;&gt;&gt; depending on the view locally . . .</w:t>
            </w:r>
          </w:p>
          <w:p w14:paraId="43EC95D1" w14:textId="123918AC" w:rsidR="00177C42" w:rsidRPr="00F65D14" w:rsidRDefault="0098465C" w:rsidP="00993569">
            <w:pPr>
              <w:rPr>
                <w:rFonts w:cs="Arial"/>
                <w:bCs/>
                <w:iCs/>
                <w:color w:val="000000"/>
                <w:szCs w:val="22"/>
                <w:lang w:eastAsia="en-GB"/>
              </w:rPr>
            </w:pPr>
            <w:r>
              <w:rPr>
                <w:lang w:eastAsia="en-GB"/>
              </w:rPr>
              <w:t xml:space="preserve">As per above, larger hereditaments may be more appropriate to sit at a Combined Authority level.  It also may be appropriate for any developments funded across a number of authorities to be included at a Combined </w:t>
            </w:r>
            <w:r w:rsidR="00993569">
              <w:rPr>
                <w:lang w:eastAsia="en-GB"/>
              </w:rPr>
              <w:t>A</w:t>
            </w:r>
            <w:r>
              <w:rPr>
                <w:lang w:eastAsia="en-GB"/>
              </w:rPr>
              <w:t xml:space="preserve">uthority level.  This would allow greater transparency in terms of the associated resource flows from pan authority schemes.  </w:t>
            </w:r>
          </w:p>
        </w:tc>
      </w:tr>
    </w:tbl>
    <w:p w14:paraId="6C815762" w14:textId="5D15038F" w:rsidR="000016DD" w:rsidRDefault="000016DD" w:rsidP="00C26FA7">
      <w:pPr>
        <w:pStyle w:val="aaa"/>
      </w:pPr>
      <w:r>
        <w:t>The paper highlights current issues local authorities face regarding appeals risk i.e. the time taken to forecast levels, the difficulties in acutely predicting outcomes.  It also suggests that since 201</w:t>
      </w:r>
      <w:r w:rsidR="00755987">
        <w:t>3</w:t>
      </w:r>
      <w:r>
        <w:t>/1</w:t>
      </w:r>
      <w:r w:rsidR="00755987">
        <w:t>4 authorities</w:t>
      </w:r>
      <w:r>
        <w:t xml:space="preserve"> “have been budgeting to spend less than they might otherwise ha</w:t>
      </w:r>
      <w:r w:rsidR="00755987">
        <w:t>ve</w:t>
      </w:r>
      <w:r>
        <w:t xml:space="preserve"> spent as a result of provisions associated with appeals uncertainty”.  </w:t>
      </w:r>
    </w:p>
    <w:p w14:paraId="3594A7F0" w14:textId="390239F2" w:rsidR="00C61BCE" w:rsidRDefault="000016DD" w:rsidP="00C26FA7">
      <w:pPr>
        <w:pStyle w:val="aaa"/>
      </w:pPr>
      <w:r>
        <w:t xml:space="preserve">Whilst it is the case that some authorities have been prudent (and perhaps some have been overly so) with their appeals provision, this may not have been reflected in budgets i.e. appeals </w:t>
      </w:r>
      <w:r>
        <w:lastRenderedPageBreak/>
        <w:t xml:space="preserve">provisions are determined at NNDR3 and the net accumulated deficits (based on NNDR1 forecasts) would suggest budgeted expenditure may not necessarily be in line with business rates income after taking into account provisions.  </w:t>
      </w:r>
    </w:p>
    <w:p w14:paraId="2575CFC2" w14:textId="6FACD721" w:rsidR="000016DD" w:rsidRDefault="000016DD" w:rsidP="00C26FA7">
      <w:pPr>
        <w:pStyle w:val="aaa"/>
      </w:pPr>
      <w:r>
        <w:t>Possible solutions discussed in the paper to the problem of appeals are:</w:t>
      </w:r>
    </w:p>
    <w:p w14:paraId="3C8C56E5" w14:textId="5FE8369A" w:rsidR="000016DD" w:rsidRDefault="000016DD" w:rsidP="000016DD">
      <w:pPr>
        <w:pStyle w:val="Style15"/>
      </w:pPr>
      <w:r>
        <w:t>To provide more help locally to set aside the right amount</w:t>
      </w:r>
      <w:r w:rsidR="00BD4761">
        <w:t>.</w:t>
      </w:r>
      <w:r>
        <w:t xml:space="preserve"> </w:t>
      </w:r>
    </w:p>
    <w:p w14:paraId="43C8844A" w14:textId="6A838C3B" w:rsidR="000016DD" w:rsidRDefault="000016DD" w:rsidP="000016DD">
      <w:pPr>
        <w:pStyle w:val="Style15"/>
      </w:pPr>
      <w:r>
        <w:t>Pool provision risk at an area level</w:t>
      </w:r>
      <w:r w:rsidR="00BD4761">
        <w:t>.</w:t>
      </w:r>
    </w:p>
    <w:p w14:paraId="3DFB14D6" w14:textId="53A7AEEA" w:rsidR="000016DD" w:rsidRDefault="000016DD" w:rsidP="000016DD">
      <w:pPr>
        <w:pStyle w:val="Style15"/>
      </w:pPr>
      <w:r>
        <w:t>Pool appeal risk at a national level</w:t>
      </w:r>
      <w:r w:rsidR="00BD4761">
        <w:t>.</w:t>
      </w:r>
    </w:p>
    <w:p w14:paraId="346FEE78" w14:textId="679686BC" w:rsidR="000016DD" w:rsidRDefault="000016DD" w:rsidP="00C26FA7">
      <w:pPr>
        <w:pStyle w:val="aaa"/>
      </w:pPr>
      <w:r>
        <w:t xml:space="preserve">The paper does not mention the two consultations that </w:t>
      </w:r>
      <w:r w:rsidR="00755987">
        <w:t>relate to</w:t>
      </w:r>
      <w:r>
        <w:t xml:space="preserve"> the appeal mechanism and revaluation </w:t>
      </w:r>
      <w:r w:rsidR="00755987">
        <w:t>(</w:t>
      </w:r>
      <w:r>
        <w:t>see para</w:t>
      </w:r>
      <w:r w:rsidR="00755987">
        <w:t>graph</w:t>
      </w:r>
      <w:r>
        <w:t xml:space="preserve"> 3.14</w:t>
      </w:r>
      <w:r w:rsidR="00755987">
        <w:t>)</w:t>
      </w:r>
      <w:r>
        <w:t xml:space="preserve"> which also may help address this issue i.e. the potential for quicker resolution of appeals and less of them (if </w:t>
      </w:r>
      <w:r w:rsidR="00755987">
        <w:t xml:space="preserve">for example, </w:t>
      </w:r>
      <w:r>
        <w:t>self-assessment went a</w:t>
      </w:r>
      <w:r w:rsidR="00755987">
        <w:t>head</w:t>
      </w:r>
      <w:r>
        <w:t xml:space="preserve">). </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16"/>
      </w:tblGrid>
      <w:tr w:rsidR="00C61BCE" w:rsidRPr="00F65D14" w14:paraId="2FAC31FF" w14:textId="77777777" w:rsidTr="006F79A1">
        <w:tc>
          <w:tcPr>
            <w:tcW w:w="9316" w:type="dxa"/>
            <w:shd w:val="clear" w:color="auto" w:fill="F2F2F2" w:themeFill="background1" w:themeFillShade="F2"/>
          </w:tcPr>
          <w:p w14:paraId="04E7120D" w14:textId="77777777" w:rsidR="00C61BCE" w:rsidRPr="00F65D14" w:rsidRDefault="00C61BCE" w:rsidP="00FA797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17: At what level should risk associated with successful business rates appeals be managed? Do you have a preference for local, area (including Combined Authority), or national level (across all local authorities) management as set out in the options above?</w:t>
            </w:r>
          </w:p>
        </w:tc>
      </w:tr>
      <w:tr w:rsidR="00177C42" w:rsidRPr="00F65D14" w14:paraId="1AD45861" w14:textId="77777777" w:rsidTr="00177C42">
        <w:tc>
          <w:tcPr>
            <w:tcW w:w="9316" w:type="dxa"/>
            <w:shd w:val="clear" w:color="auto" w:fill="DBE5F1" w:themeFill="accent1" w:themeFillTint="33"/>
          </w:tcPr>
          <w:p w14:paraId="1CD1B80C" w14:textId="5E4A0D3E" w:rsidR="00177C42" w:rsidRDefault="00177C42" w:rsidP="00177C42">
            <w:pPr>
              <w:widowControl w:val="0"/>
              <w:autoSpaceDE w:val="0"/>
              <w:autoSpaceDN w:val="0"/>
              <w:adjustRightInd w:val="0"/>
              <w:spacing w:before="240" w:after="240" w:line="240" w:lineRule="auto"/>
              <w:rPr>
                <w:b/>
                <w:lang w:eastAsia="en-GB"/>
              </w:rPr>
            </w:pPr>
            <w:r w:rsidRPr="00DE69E3">
              <w:rPr>
                <w:b/>
                <w:lang w:eastAsia="en-GB"/>
              </w:rPr>
              <w:t>Potential view of SDCT</w:t>
            </w:r>
          </w:p>
          <w:p w14:paraId="64BE01AD" w14:textId="77777777" w:rsidR="0098465C" w:rsidRDefault="0098465C" w:rsidP="0098465C">
            <w:r>
              <w:t xml:space="preserve">The management of appeals at a higher level (sub-regional, regional or even at a national level) would reduce the exposure to this risk for individual authorities.  However, it could potentially increase the reliance on others for information thereby reducing the ability to forecast local resources and also create delays in the monitoring / accounting process.  </w:t>
            </w:r>
          </w:p>
          <w:p w14:paraId="33555941" w14:textId="036AF095" w:rsidR="0098465C" w:rsidRDefault="0098465C" w:rsidP="0098465C">
            <w:r>
              <w:t xml:space="preserve">If appeals were to be dealt with at a higher level, a national system is perhaps the most appropriate, as this would not lead to regional variations in appeals (compared to the allowance given) leading to shifts in resources.  It would also increase the transparency between the allowance made by central government and the actual level of appeals.  </w:t>
            </w:r>
          </w:p>
          <w:p w14:paraId="58B7B62A" w14:textId="06C783F6" w:rsidR="00177C42" w:rsidRPr="00F65D14" w:rsidRDefault="0098465C" w:rsidP="0098465C">
            <w:pPr>
              <w:rPr>
                <w:rFonts w:cs="Arial"/>
                <w:bCs/>
                <w:iCs/>
                <w:color w:val="000000"/>
                <w:szCs w:val="22"/>
                <w:lang w:eastAsia="en-GB"/>
              </w:rPr>
            </w:pPr>
            <w:r>
              <w:t xml:space="preserve">However, as per Q18 below, the potential forthcoming changes to the appeals and revaluation processes may reduce the number of value of appeals going forward, thereby not requiring a change in how they are managed. </w:t>
            </w:r>
          </w:p>
        </w:tc>
      </w:tr>
      <w:tr w:rsidR="00C61BCE" w:rsidRPr="00F65D14" w14:paraId="2F42F94B" w14:textId="77777777" w:rsidTr="006F79A1">
        <w:tc>
          <w:tcPr>
            <w:tcW w:w="9316" w:type="dxa"/>
            <w:shd w:val="clear" w:color="auto" w:fill="F2F2F2" w:themeFill="background1" w:themeFillShade="F2"/>
          </w:tcPr>
          <w:p w14:paraId="7C06E318" w14:textId="77777777" w:rsidR="00C61BCE" w:rsidRPr="00F65D14" w:rsidRDefault="00C61BCE" w:rsidP="00FA797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18: What would help your local authority better manage risks associated with successful business rates appeals?</w:t>
            </w:r>
          </w:p>
        </w:tc>
      </w:tr>
      <w:tr w:rsidR="00177C42" w:rsidRPr="00F65D14" w14:paraId="53020CAC" w14:textId="77777777" w:rsidTr="00177C42">
        <w:tc>
          <w:tcPr>
            <w:tcW w:w="9316" w:type="dxa"/>
            <w:shd w:val="clear" w:color="auto" w:fill="DBE5F1" w:themeFill="accent1" w:themeFillTint="33"/>
          </w:tcPr>
          <w:p w14:paraId="492B6513" w14:textId="77777777" w:rsidR="00177C42" w:rsidRDefault="00177C42" w:rsidP="00177C42">
            <w:pPr>
              <w:widowControl w:val="0"/>
              <w:autoSpaceDE w:val="0"/>
              <w:autoSpaceDN w:val="0"/>
              <w:adjustRightInd w:val="0"/>
              <w:spacing w:before="240" w:after="240" w:line="240" w:lineRule="auto"/>
              <w:rPr>
                <w:b/>
                <w:lang w:eastAsia="en-GB"/>
              </w:rPr>
            </w:pPr>
            <w:r w:rsidRPr="00DE69E3">
              <w:rPr>
                <w:b/>
                <w:lang w:eastAsia="en-GB"/>
              </w:rPr>
              <w:t>Potential view of SDCT</w:t>
            </w:r>
          </w:p>
          <w:p w14:paraId="7ECB2973" w14:textId="3352D67C" w:rsidR="00177C42" w:rsidRPr="00F65D14" w:rsidRDefault="0098465C" w:rsidP="0098465C">
            <w:pPr>
              <w:rPr>
                <w:rFonts w:cs="Arial"/>
                <w:bCs/>
                <w:iCs/>
                <w:color w:val="000000"/>
                <w:szCs w:val="22"/>
                <w:lang w:eastAsia="en-GB"/>
              </w:rPr>
            </w:pPr>
            <w:r>
              <w:rPr>
                <w:lang w:eastAsia="en-GB"/>
              </w:rPr>
              <w:t xml:space="preserve">The changes being planned around the appeals process, and potentially the valuation process, should (hopefully) increase the speed of appeals and reduce their number.   At present the speed of appeals being dealt with is not acceptable.  This results in funding being tied up in the Collection Fund, pending the outcome of appeals.   </w:t>
            </w:r>
          </w:p>
        </w:tc>
      </w:tr>
    </w:tbl>
    <w:p w14:paraId="22FB676C" w14:textId="3C54C9A7" w:rsidR="00C61BCE" w:rsidRDefault="000016DD" w:rsidP="00335080">
      <w:pPr>
        <w:pStyle w:val="Heading3"/>
      </w:pPr>
      <w:r>
        <w:lastRenderedPageBreak/>
        <w:t>The Safety Net</w:t>
      </w:r>
    </w:p>
    <w:p w14:paraId="20C5D794" w14:textId="2AAF5809" w:rsidR="000016DD" w:rsidRDefault="00335080" w:rsidP="00C26FA7">
      <w:pPr>
        <w:pStyle w:val="aaa"/>
      </w:pPr>
      <w:r>
        <w:t xml:space="preserve">The government would still want a safety net within 100% BRR.  However, it is interested in views as to what geographic level it is applied and how the level is set. </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16"/>
      </w:tblGrid>
      <w:tr w:rsidR="00C61BCE" w:rsidRPr="00F65D14" w14:paraId="5A433E0F" w14:textId="77777777" w:rsidTr="006F79A1">
        <w:tc>
          <w:tcPr>
            <w:tcW w:w="9316" w:type="dxa"/>
            <w:shd w:val="clear" w:color="auto" w:fill="F2F2F2" w:themeFill="background1" w:themeFillShade="F2"/>
          </w:tcPr>
          <w:p w14:paraId="3762898A" w14:textId="77777777" w:rsidR="00C61BCE" w:rsidRPr="00F65D14" w:rsidRDefault="00C61BCE" w:rsidP="00FA797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19: Would pooling risk, including a pool-area safety net, be attractive to local authorities?</w:t>
            </w:r>
          </w:p>
        </w:tc>
      </w:tr>
      <w:tr w:rsidR="00177C42" w:rsidRPr="00F65D14" w14:paraId="1414118E" w14:textId="77777777" w:rsidTr="00177C42">
        <w:tc>
          <w:tcPr>
            <w:tcW w:w="9316" w:type="dxa"/>
            <w:shd w:val="clear" w:color="auto" w:fill="DBE5F1" w:themeFill="accent1" w:themeFillTint="33"/>
          </w:tcPr>
          <w:p w14:paraId="707DDA1F" w14:textId="77777777" w:rsidR="00177C42" w:rsidRDefault="00177C42" w:rsidP="00177C42">
            <w:pPr>
              <w:widowControl w:val="0"/>
              <w:autoSpaceDE w:val="0"/>
              <w:autoSpaceDN w:val="0"/>
              <w:adjustRightInd w:val="0"/>
              <w:spacing w:before="240" w:after="240" w:line="240" w:lineRule="auto"/>
              <w:rPr>
                <w:b/>
                <w:lang w:eastAsia="en-GB"/>
              </w:rPr>
            </w:pPr>
            <w:r w:rsidRPr="00DE69E3">
              <w:rPr>
                <w:b/>
                <w:lang w:eastAsia="en-GB"/>
              </w:rPr>
              <w:t>Potential view of SDCT</w:t>
            </w:r>
          </w:p>
          <w:p w14:paraId="5A94A894" w14:textId="634C2ECD" w:rsidR="00177C42" w:rsidRPr="00F65D14" w:rsidRDefault="0098465C" w:rsidP="0098465C">
            <w:pPr>
              <w:rPr>
                <w:rFonts w:cs="Arial"/>
                <w:bCs/>
                <w:iCs/>
                <w:color w:val="000000"/>
                <w:szCs w:val="22"/>
                <w:lang w:eastAsia="en-GB"/>
              </w:rPr>
            </w:pPr>
            <w:r>
              <w:t>A</w:t>
            </w:r>
            <w:r w:rsidRPr="00034631">
              <w:t>s per Q1</w:t>
            </w:r>
            <w:r>
              <w:t>7, any pooling</w:t>
            </w:r>
            <w:r w:rsidRPr="00034631">
              <w:t xml:space="preserve"> at a higher level will increase the need for information flows </w:t>
            </w:r>
            <w:r>
              <w:t>between authorities and also mean events elsewhere impact directly local resources</w:t>
            </w:r>
            <w:r w:rsidRPr="00034631">
              <w:t>.  This will create delays and also reduce the extent to which an authority can forecast</w:t>
            </w:r>
            <w:r>
              <w:t xml:space="preserve"> (and account) for</w:t>
            </w:r>
            <w:r w:rsidRPr="00034631">
              <w:t xml:space="preserve"> its own resources</w:t>
            </w:r>
            <w:r>
              <w:t>.</w:t>
            </w:r>
          </w:p>
        </w:tc>
      </w:tr>
      <w:tr w:rsidR="00C61BCE" w:rsidRPr="00F65D14" w14:paraId="768A8122" w14:textId="77777777" w:rsidTr="006F79A1">
        <w:tc>
          <w:tcPr>
            <w:tcW w:w="9316" w:type="dxa"/>
            <w:shd w:val="clear" w:color="auto" w:fill="F2F2F2" w:themeFill="background1" w:themeFillShade="F2"/>
          </w:tcPr>
          <w:p w14:paraId="60B0B7DD" w14:textId="77777777" w:rsidR="00C61BCE" w:rsidRPr="00F65D14" w:rsidRDefault="00C61BCE" w:rsidP="00FA797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20: What level of income protection should a system aim to provide? Should this be nationally set, or defined at area levels?</w:t>
            </w:r>
          </w:p>
        </w:tc>
      </w:tr>
      <w:tr w:rsidR="00177C42" w:rsidRPr="00F65D14" w14:paraId="5D43C6E6" w14:textId="77777777" w:rsidTr="00177C42">
        <w:tc>
          <w:tcPr>
            <w:tcW w:w="9316" w:type="dxa"/>
            <w:shd w:val="clear" w:color="auto" w:fill="DBE5F1" w:themeFill="accent1" w:themeFillTint="33"/>
          </w:tcPr>
          <w:p w14:paraId="0C3248D7" w14:textId="77777777" w:rsidR="00177C42" w:rsidRDefault="00177C42" w:rsidP="00177C42">
            <w:pPr>
              <w:widowControl w:val="0"/>
              <w:autoSpaceDE w:val="0"/>
              <w:autoSpaceDN w:val="0"/>
              <w:adjustRightInd w:val="0"/>
              <w:spacing w:before="240" w:after="240" w:line="240" w:lineRule="auto"/>
              <w:rPr>
                <w:b/>
                <w:lang w:eastAsia="en-GB"/>
              </w:rPr>
            </w:pPr>
            <w:r w:rsidRPr="00DE69E3">
              <w:rPr>
                <w:b/>
                <w:lang w:eastAsia="en-GB"/>
              </w:rPr>
              <w:t>Potential view of SDCT</w:t>
            </w:r>
          </w:p>
          <w:p w14:paraId="47E5FDBB" w14:textId="337443B8" w:rsidR="00177C42" w:rsidRPr="006D5815" w:rsidRDefault="006D5815" w:rsidP="006D5815">
            <w:pPr>
              <w:rPr>
                <w:lang w:eastAsia="en-GB"/>
              </w:rPr>
            </w:pPr>
            <w:r>
              <w:rPr>
                <w:lang w:eastAsia="en-GB"/>
              </w:rPr>
              <w:t>Protection, in the form of a safety net</w:t>
            </w:r>
            <w:r w:rsidR="00993569">
              <w:rPr>
                <w:lang w:eastAsia="en-GB"/>
              </w:rPr>
              <w:t>,</w:t>
            </w:r>
            <w:r>
              <w:rPr>
                <w:lang w:eastAsia="en-GB"/>
              </w:rPr>
              <w:t xml:space="preserve"> should be set at a national level and applied at an individual authority level.  Where authorities act together, as under the current pooling arrangements, they should be allowed to set their own internal safety net levels (whilst also qualifying for the national safety net at the standard rate).  </w:t>
            </w:r>
          </w:p>
        </w:tc>
      </w:tr>
    </w:tbl>
    <w:p w14:paraId="6132DBBA" w14:textId="578D8425" w:rsidR="00EA7747" w:rsidRDefault="00EA7747" w:rsidP="00335080">
      <w:pPr>
        <w:pStyle w:val="aaa"/>
        <w:numPr>
          <w:ilvl w:val="0"/>
          <w:numId w:val="0"/>
        </w:numPr>
        <w:ind w:left="1200"/>
      </w:pPr>
    </w:p>
    <w:p w14:paraId="06603BB6" w14:textId="77777777" w:rsidR="00B70A7B" w:rsidRDefault="00B70A7B" w:rsidP="00FA7973">
      <w:pPr>
        <w:widowControl w:val="0"/>
        <w:spacing w:before="0" w:after="0" w:line="240" w:lineRule="auto"/>
        <w:rPr>
          <w:color w:val="0074E1"/>
          <w:kern w:val="32"/>
          <w:sz w:val="30"/>
          <w:szCs w:val="32"/>
        </w:rPr>
      </w:pPr>
      <w:r>
        <w:br w:type="page"/>
      </w:r>
    </w:p>
    <w:p w14:paraId="436CFD16" w14:textId="77777777" w:rsidR="00FD1DBB" w:rsidRDefault="00FD1DBB" w:rsidP="00FD1DBB">
      <w:pPr>
        <w:pStyle w:val="Level1"/>
        <w:keepNext w:val="0"/>
        <w:widowControl w:val="0"/>
      </w:pPr>
      <w:bookmarkStart w:id="14" w:name="_Toc457465059"/>
      <w:r>
        <w:lastRenderedPageBreak/>
        <w:t>Local tax flexibilities</w:t>
      </w:r>
      <w:bookmarkEnd w:id="14"/>
    </w:p>
    <w:p w14:paraId="473612F4" w14:textId="77777777" w:rsidR="00FD1DBB" w:rsidRDefault="00FD1DBB" w:rsidP="00FD1DBB">
      <w:pPr>
        <w:pStyle w:val="Level2"/>
        <w:keepNext w:val="0"/>
        <w:widowControl w:val="0"/>
      </w:pPr>
      <w:r>
        <w:t xml:space="preserve">This chapter covers the design and operation of the new tax flexibilities that authorities will have under the new system.  Authorities will be able to reduce the multiplier and Combined Authority Mayors will be able to levy a supplement on business rates.  </w:t>
      </w:r>
    </w:p>
    <w:p w14:paraId="0081EBF1" w14:textId="77777777" w:rsidR="00FD1DBB" w:rsidRDefault="00FD1DBB" w:rsidP="00FD1DBB">
      <w:pPr>
        <w:pStyle w:val="Heading3"/>
      </w:pPr>
      <w:r>
        <w:t>Ability to reduce the business rates multiplier</w:t>
      </w:r>
    </w:p>
    <w:p w14:paraId="1345331A" w14:textId="77777777" w:rsidR="00FD1DBB" w:rsidRDefault="00FD1DBB" w:rsidP="00FD1DBB">
      <w:pPr>
        <w:pStyle w:val="aaa"/>
      </w:pPr>
      <w:r>
        <w:t>For single tier areas the decision to reduce the multiplier is already aligned with the authority that would meet the cost.  However, for multi-tier areas a decision needs to be made as to:</w:t>
      </w:r>
    </w:p>
    <w:p w14:paraId="60C628E9" w14:textId="77777777" w:rsidR="00FD1DBB" w:rsidRDefault="00FD1DBB" w:rsidP="00FD1DBB">
      <w:pPr>
        <w:pStyle w:val="Style15"/>
      </w:pPr>
      <w:r>
        <w:t xml:space="preserve">How the decision would be made (e.g. by the billing authority). </w:t>
      </w:r>
    </w:p>
    <w:p w14:paraId="2D1C6E64" w14:textId="77777777" w:rsidR="00FD1DBB" w:rsidRDefault="00FD1DBB" w:rsidP="00FD1DBB">
      <w:pPr>
        <w:pStyle w:val="Style15"/>
      </w:pPr>
      <w:r>
        <w:t>Which authorities would meet the cost (e.g. is it split across all billing and precepting authorities)</w:t>
      </w:r>
      <w:r>
        <w:rPr>
          <w:sz w:val="24"/>
        </w:rPr>
        <w:t>.</w:t>
      </w:r>
      <w:r>
        <w:t xml:space="preserve"> </w:t>
      </w:r>
    </w:p>
    <w:p w14:paraId="36C3B82A" w14:textId="66C5E13D" w:rsidR="00FD1DBB" w:rsidRDefault="00FD1DBB" w:rsidP="00FD1DBB">
      <w:pPr>
        <w:pStyle w:val="Style15"/>
      </w:pPr>
      <w:r>
        <w:t xml:space="preserve">If the decision should be similar to the council tax system (i.e. each </w:t>
      </w:r>
      <w:r w:rsidR="008D1632">
        <w:t>responsible for their own element of the bill</w:t>
      </w:r>
      <w:r w:rsidR="008D1632">
        <w:rPr>
          <w:rStyle w:val="CommentReference"/>
        </w:rPr>
        <w:t>)</w:t>
      </w:r>
      <w:r>
        <w:t xml:space="preserve"> with the billing and precepting authorities each hav</w:t>
      </w:r>
      <w:r w:rsidR="009345D3">
        <w:t>ing</w:t>
      </w:r>
      <w:r>
        <w:t xml:space="preserve"> the ability to reduce the rate (and if so do they meet the costs of their own decisions only</w:t>
      </w:r>
      <w:r w:rsidR="009345D3">
        <w:t>?</w:t>
      </w:r>
      <w:r>
        <w:t>).</w:t>
      </w:r>
    </w:p>
    <w:p w14:paraId="0D7CE1D4" w14:textId="77777777" w:rsidR="00FD1DBB" w:rsidRDefault="00FD1DBB" w:rsidP="00FD1DBB">
      <w:pPr>
        <w:pStyle w:val="Style15"/>
      </w:pPr>
      <w:r>
        <w:t xml:space="preserve">The role of </w:t>
      </w:r>
      <w:proofErr w:type="gramStart"/>
      <w:r>
        <w:t>Combined</w:t>
      </w:r>
      <w:proofErr w:type="gramEnd"/>
      <w:r>
        <w:t xml:space="preserve"> authorities.</w:t>
      </w:r>
    </w:p>
    <w:p w14:paraId="0AF028D5" w14:textId="184BB789" w:rsidR="00FD1DBB" w:rsidRDefault="00FD1DBB" w:rsidP="00FD1DBB">
      <w:pPr>
        <w:pStyle w:val="Style15"/>
      </w:pPr>
      <w:r>
        <w:t xml:space="preserve">How the system should work for Combined Authorities, Fire </w:t>
      </w:r>
      <w:r w:rsidR="009345D3">
        <w:t>A</w:t>
      </w:r>
      <w:r>
        <w:t xml:space="preserve">uthorities and in London.  </w:t>
      </w:r>
    </w:p>
    <w:p w14:paraId="3A5B2A4D" w14:textId="77777777" w:rsidR="00FD1DBB" w:rsidRDefault="00FD1DBB" w:rsidP="00FD1DBB">
      <w:pPr>
        <w:widowControl w:val="0"/>
        <w:spacing w:before="0" w:after="0" w:line="240" w:lineRule="auto"/>
        <w:rPr>
          <w:color w:val="0074E1"/>
          <w:kern w:val="32"/>
          <w:sz w:val="30"/>
          <w:szCs w:val="32"/>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16"/>
      </w:tblGrid>
      <w:tr w:rsidR="00FD1DBB" w:rsidRPr="00F65D14" w14:paraId="0821C4CC" w14:textId="77777777" w:rsidTr="00EE1EE3">
        <w:tc>
          <w:tcPr>
            <w:tcW w:w="9316" w:type="dxa"/>
            <w:shd w:val="clear" w:color="auto" w:fill="F2F2F2" w:themeFill="background1" w:themeFillShade="F2"/>
          </w:tcPr>
          <w:p w14:paraId="5672AB48" w14:textId="77777777" w:rsidR="00FD1DBB" w:rsidRPr="00F65D14" w:rsidRDefault="00FD1DBB" w:rsidP="00EE1EE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21: What are your views on which authority should be able to reduce the multiplier and how the costs should be met?</w:t>
            </w:r>
          </w:p>
        </w:tc>
      </w:tr>
      <w:tr w:rsidR="00177C42" w:rsidRPr="00F65D14" w14:paraId="2A234CC2" w14:textId="77777777" w:rsidTr="00177C42">
        <w:tc>
          <w:tcPr>
            <w:tcW w:w="9316" w:type="dxa"/>
            <w:shd w:val="clear" w:color="auto" w:fill="DBE5F1" w:themeFill="accent1" w:themeFillTint="33"/>
          </w:tcPr>
          <w:p w14:paraId="1D744B6A" w14:textId="77777777" w:rsidR="00177C42" w:rsidRDefault="00177C42" w:rsidP="00177C42">
            <w:pPr>
              <w:widowControl w:val="0"/>
              <w:autoSpaceDE w:val="0"/>
              <w:autoSpaceDN w:val="0"/>
              <w:adjustRightInd w:val="0"/>
              <w:spacing w:before="240" w:after="240" w:line="240" w:lineRule="auto"/>
              <w:rPr>
                <w:b/>
                <w:lang w:eastAsia="en-GB"/>
              </w:rPr>
            </w:pPr>
            <w:r w:rsidRPr="00DE69E3">
              <w:rPr>
                <w:b/>
                <w:lang w:eastAsia="en-GB"/>
              </w:rPr>
              <w:t>Potential view of SDCT</w:t>
            </w:r>
          </w:p>
          <w:p w14:paraId="6B760824" w14:textId="0E56BD64" w:rsidR="00177C42" w:rsidRPr="00F65D14" w:rsidRDefault="006D5815" w:rsidP="00993569">
            <w:pPr>
              <w:rPr>
                <w:rFonts w:cs="Arial"/>
                <w:bCs/>
                <w:iCs/>
                <w:color w:val="000000"/>
                <w:szCs w:val="22"/>
                <w:lang w:eastAsia="en-GB"/>
              </w:rPr>
            </w:pPr>
            <w:r>
              <w:rPr>
                <w:lang w:eastAsia="en-GB"/>
              </w:rPr>
              <w:t>Local authorities should have the ability to reduce the multiplier, the costs of which should be shared (based on the relevant proportions) between billing and precepting authorities.  Whilst this does create a governance issue in terms of one authority setting a rate that others have to abide by, it needs to be recognised that the authority will be lowering the rate in order to achieve increased business rate revenues in the future.</w:t>
            </w:r>
          </w:p>
        </w:tc>
      </w:tr>
    </w:tbl>
    <w:p w14:paraId="12877F35" w14:textId="4619A486" w:rsidR="00FD1DBB" w:rsidRDefault="00FD1DBB" w:rsidP="00FD1DBB">
      <w:pPr>
        <w:pStyle w:val="aaa"/>
      </w:pPr>
      <w:r>
        <w:t xml:space="preserve">At present local authorities have the power to target business rate </w:t>
      </w:r>
      <w:proofErr w:type="gramStart"/>
      <w:r>
        <w:t>reliefs.</w:t>
      </w:r>
      <w:proofErr w:type="gramEnd"/>
      <w:r>
        <w:t xml:space="preserve">  The Government see the new power as having the ability to change the </w:t>
      </w:r>
      <w:r w:rsidR="008D1632">
        <w:t xml:space="preserve">overall </w:t>
      </w:r>
      <w:r>
        <w:t>multiplier</w:t>
      </w:r>
      <w:r w:rsidR="008D1632">
        <w:t xml:space="preserve">.  </w:t>
      </w:r>
      <w:r>
        <w:t>They are</w:t>
      </w:r>
      <w:r w:rsidR="008D1632">
        <w:t xml:space="preserve"> therefore</w:t>
      </w:r>
      <w:r>
        <w:t xml:space="preserve"> seeking views as to how the two powers would interact. </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16"/>
      </w:tblGrid>
      <w:tr w:rsidR="00FD1DBB" w:rsidRPr="00F65D14" w14:paraId="5A81C772" w14:textId="77777777" w:rsidTr="00EE1EE3">
        <w:tc>
          <w:tcPr>
            <w:tcW w:w="9316" w:type="dxa"/>
            <w:shd w:val="clear" w:color="auto" w:fill="F2F2F2" w:themeFill="background1" w:themeFillShade="F2"/>
          </w:tcPr>
          <w:p w14:paraId="7327D776" w14:textId="77777777" w:rsidR="00FD1DBB" w:rsidRPr="00F65D14" w:rsidRDefault="00FD1DBB" w:rsidP="00EE1EE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22: What are your views on the interaction between the power to reduce the multiplier and the local discount powers?</w:t>
            </w:r>
          </w:p>
        </w:tc>
      </w:tr>
      <w:tr w:rsidR="00177C42" w:rsidRPr="00F65D14" w14:paraId="387FCC96" w14:textId="77777777" w:rsidTr="00177C42">
        <w:tc>
          <w:tcPr>
            <w:tcW w:w="9316" w:type="dxa"/>
            <w:shd w:val="clear" w:color="auto" w:fill="DBE5F1" w:themeFill="accent1" w:themeFillTint="33"/>
          </w:tcPr>
          <w:p w14:paraId="481F9CAD" w14:textId="77777777" w:rsidR="00177C42" w:rsidRDefault="00177C42" w:rsidP="00177C42">
            <w:pPr>
              <w:widowControl w:val="0"/>
              <w:autoSpaceDE w:val="0"/>
              <w:autoSpaceDN w:val="0"/>
              <w:adjustRightInd w:val="0"/>
              <w:spacing w:before="240" w:after="240" w:line="240" w:lineRule="auto"/>
              <w:rPr>
                <w:b/>
                <w:lang w:eastAsia="en-GB"/>
              </w:rPr>
            </w:pPr>
            <w:r w:rsidRPr="00DE69E3">
              <w:rPr>
                <w:b/>
                <w:lang w:eastAsia="en-GB"/>
              </w:rPr>
              <w:t>Potential view of SDCT</w:t>
            </w:r>
          </w:p>
          <w:p w14:paraId="08657D2D" w14:textId="64AE5E7A" w:rsidR="00177C42" w:rsidRPr="00F65D14" w:rsidRDefault="006D5815" w:rsidP="006D5815">
            <w:pPr>
              <w:rPr>
                <w:rFonts w:cs="Arial"/>
                <w:bCs/>
                <w:iCs/>
                <w:color w:val="000000"/>
                <w:szCs w:val="22"/>
                <w:lang w:eastAsia="en-GB"/>
              </w:rPr>
            </w:pPr>
            <w:r>
              <w:rPr>
                <w:lang w:eastAsia="en-GB"/>
              </w:rPr>
              <w:t xml:space="preserve">Where reductions / discounts are offered, they will be based on financial and economic reasons that have gone through Officer and Member scrutiny to ensure they are appropriate for the area.  Local authorities should therefore have sufficient scope across the two powers </w:t>
            </w:r>
            <w:r>
              <w:rPr>
                <w:lang w:eastAsia="en-GB"/>
              </w:rPr>
              <w:lastRenderedPageBreak/>
              <w:t xml:space="preserve">to determine the nature of reductions/ discounts given i.e. whether by geography, business type, duration and magnitude.  </w:t>
            </w:r>
          </w:p>
        </w:tc>
      </w:tr>
    </w:tbl>
    <w:p w14:paraId="3FCD4ABD" w14:textId="77777777" w:rsidR="00FD1DBB" w:rsidRDefault="00FD1DBB" w:rsidP="00FD1DBB">
      <w:pPr>
        <w:pStyle w:val="aaa"/>
      </w:pPr>
      <w:r>
        <w:lastRenderedPageBreak/>
        <w:t xml:space="preserve">Once given the issue of how a multiplier could be increased back to the national level needs to be determined i.e. should it be done it one step, or does it need to be phased to avoid large one-off increases. </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16"/>
      </w:tblGrid>
      <w:tr w:rsidR="00FD1DBB" w:rsidRPr="00F65D14" w14:paraId="71FB46DA" w14:textId="77777777" w:rsidTr="006D5815">
        <w:tc>
          <w:tcPr>
            <w:tcW w:w="9316" w:type="dxa"/>
            <w:shd w:val="clear" w:color="auto" w:fill="F2F2F2" w:themeFill="background1" w:themeFillShade="F2"/>
          </w:tcPr>
          <w:p w14:paraId="41B904D5" w14:textId="2ECECDE9" w:rsidR="00FD1DBB" w:rsidRPr="006D5815" w:rsidRDefault="00FD1DBB" w:rsidP="00177C42">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 xml:space="preserve">Question 23: </w:t>
            </w:r>
            <w:r w:rsidR="006D5815" w:rsidRPr="00F65D14">
              <w:rPr>
                <w:rFonts w:cs="Arial"/>
                <w:bCs/>
                <w:iCs/>
                <w:color w:val="000000"/>
                <w:szCs w:val="22"/>
                <w:lang w:eastAsia="en-GB"/>
              </w:rPr>
              <w:t xml:space="preserve">What are your views on increasing the multiplier after a </w:t>
            </w:r>
            <w:r w:rsidR="006D5815">
              <w:rPr>
                <w:rFonts w:cs="Arial"/>
                <w:bCs/>
                <w:iCs/>
                <w:color w:val="000000"/>
                <w:szCs w:val="22"/>
                <w:lang w:eastAsia="en-GB"/>
              </w:rPr>
              <w:t>reduction</w:t>
            </w:r>
            <w:r w:rsidR="006D5815" w:rsidRPr="00F65D14">
              <w:rPr>
                <w:rFonts w:cs="Arial"/>
                <w:bCs/>
                <w:iCs/>
                <w:color w:val="000000"/>
                <w:szCs w:val="22"/>
                <w:lang w:eastAsia="en-GB"/>
              </w:rPr>
              <w:t>?</w:t>
            </w:r>
          </w:p>
        </w:tc>
      </w:tr>
      <w:tr w:rsidR="00177C42" w:rsidRPr="00F65D14" w14:paraId="20E6D333" w14:textId="77777777" w:rsidTr="006D5815">
        <w:tc>
          <w:tcPr>
            <w:tcW w:w="9316" w:type="dxa"/>
            <w:shd w:val="clear" w:color="auto" w:fill="DBE5F1" w:themeFill="accent1" w:themeFillTint="33"/>
          </w:tcPr>
          <w:p w14:paraId="29B5E357" w14:textId="77777777" w:rsidR="006D5815" w:rsidRDefault="006D5815" w:rsidP="006D5815">
            <w:pPr>
              <w:rPr>
                <w:lang w:eastAsia="en-GB"/>
              </w:rPr>
            </w:pPr>
            <w:r w:rsidRPr="00DE69E3">
              <w:rPr>
                <w:b/>
                <w:lang w:eastAsia="en-GB"/>
              </w:rPr>
              <w:t>Potential view of SDCT</w:t>
            </w:r>
            <w:r>
              <w:rPr>
                <w:lang w:eastAsia="en-GB"/>
              </w:rPr>
              <w:t xml:space="preserve"> </w:t>
            </w:r>
          </w:p>
          <w:p w14:paraId="20EF8C51" w14:textId="41DF4E62" w:rsidR="00177C42" w:rsidRPr="00F65D14" w:rsidRDefault="006D5815" w:rsidP="006D5815">
            <w:pPr>
              <w:rPr>
                <w:rFonts w:cs="Arial"/>
                <w:bCs/>
                <w:iCs/>
                <w:color w:val="000000"/>
                <w:szCs w:val="22"/>
                <w:lang w:eastAsia="en-GB"/>
              </w:rPr>
            </w:pPr>
            <w:r>
              <w:rPr>
                <w:lang w:eastAsia="en-GB"/>
              </w:rPr>
              <w:t xml:space="preserve">How the multiplier is increased, after a reduction, should be set out clearly in the terms when a multiplier is reduced initially.  Whether this be in a single year or over a number of years and the amount of notice given.  </w:t>
            </w:r>
            <w:r w:rsidRPr="00F65D14">
              <w:rPr>
                <w:lang w:eastAsia="en-GB"/>
              </w:rPr>
              <w:t xml:space="preserve"> </w:t>
            </w:r>
          </w:p>
        </w:tc>
      </w:tr>
    </w:tbl>
    <w:p w14:paraId="4FDA137A" w14:textId="7AC85300" w:rsidR="00FD1DBB" w:rsidRDefault="008D1632" w:rsidP="00FD1DBB">
      <w:pPr>
        <w:pStyle w:val="aaa"/>
      </w:pPr>
      <w:r>
        <w:t xml:space="preserve">Further </w:t>
      </w:r>
      <w:r w:rsidR="006D5815">
        <w:t>issues</w:t>
      </w:r>
      <w:r w:rsidR="00FD1DBB">
        <w:t xml:space="preserve"> included in the paper are the role of Mayoral Combined</w:t>
      </w:r>
      <w:r>
        <w:t xml:space="preserve"> A</w:t>
      </w:r>
      <w:r w:rsidR="00FD1DBB">
        <w:t xml:space="preserve">uthorities and the need for safeguards in neighbouring authorities; although the paper suggests the latter is not needed.  The paper seeks views on these issues and any wider aspects of the power.    </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16"/>
      </w:tblGrid>
      <w:tr w:rsidR="00FD1DBB" w:rsidRPr="00F65D14" w14:paraId="76321E98" w14:textId="77777777" w:rsidTr="00EE1EE3">
        <w:tc>
          <w:tcPr>
            <w:tcW w:w="9316" w:type="dxa"/>
            <w:shd w:val="clear" w:color="auto" w:fill="F2F2F2" w:themeFill="background1" w:themeFillShade="F2"/>
          </w:tcPr>
          <w:p w14:paraId="7C2A19F1" w14:textId="77777777" w:rsidR="00FD1DBB" w:rsidRPr="00F65D14" w:rsidRDefault="00FD1DBB" w:rsidP="00EE1EE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24: Do you have views on the above issues or on any other aspects of the power to reduce the multiplier?</w:t>
            </w:r>
          </w:p>
        </w:tc>
      </w:tr>
      <w:tr w:rsidR="00177C42" w:rsidRPr="00F65D14" w14:paraId="0C533982" w14:textId="77777777" w:rsidTr="00177C42">
        <w:tc>
          <w:tcPr>
            <w:tcW w:w="9316" w:type="dxa"/>
            <w:shd w:val="clear" w:color="auto" w:fill="DBE5F1" w:themeFill="accent1" w:themeFillTint="33"/>
          </w:tcPr>
          <w:p w14:paraId="22F0D61F" w14:textId="43A0F113" w:rsidR="00177C42" w:rsidRPr="006D5815" w:rsidRDefault="00177C42" w:rsidP="00177C42">
            <w:pPr>
              <w:widowControl w:val="0"/>
              <w:autoSpaceDE w:val="0"/>
              <w:autoSpaceDN w:val="0"/>
              <w:adjustRightInd w:val="0"/>
              <w:spacing w:before="240" w:after="240" w:line="240" w:lineRule="auto"/>
              <w:rPr>
                <w:b/>
                <w:lang w:eastAsia="en-GB"/>
              </w:rPr>
            </w:pPr>
          </w:p>
        </w:tc>
      </w:tr>
    </w:tbl>
    <w:p w14:paraId="7BCCAAB8" w14:textId="77777777" w:rsidR="00FD1DBB" w:rsidRDefault="00FD1DBB" w:rsidP="00FD1DBB">
      <w:pPr>
        <w:pStyle w:val="Heading3"/>
      </w:pPr>
      <w:r>
        <w:t xml:space="preserve">Infrastructure Levy </w:t>
      </w:r>
    </w:p>
    <w:p w14:paraId="75BE5EA2" w14:textId="2BCCD3D8" w:rsidR="00FD1DBB" w:rsidRDefault="00FD1DBB" w:rsidP="00FD1DBB">
      <w:pPr>
        <w:pStyle w:val="aaa"/>
      </w:pPr>
      <w:r>
        <w:t xml:space="preserve">Views are sought on the additional power of Combined </w:t>
      </w:r>
      <w:r w:rsidR="009345D3">
        <w:t>A</w:t>
      </w:r>
      <w:r>
        <w:t>uthority Mayors to raise the multiplier by up to 2 pence to fund infrastructure projects.  The paper asks for views on:</w:t>
      </w:r>
    </w:p>
    <w:p w14:paraId="203B0140" w14:textId="448BDF41" w:rsidR="00FD1DBB" w:rsidRPr="008D1632" w:rsidRDefault="00FD1DBB" w:rsidP="008D1632">
      <w:pPr>
        <w:pStyle w:val="Style15"/>
      </w:pPr>
      <w:r w:rsidRPr="008D1632">
        <w:t>Whether a minimum rateable value needs to be set for the application of the levy</w:t>
      </w:r>
      <w:r w:rsidR="008D1632" w:rsidRPr="008D1632">
        <w:t xml:space="preserve">? </w:t>
      </w:r>
      <w:proofErr w:type="gramStart"/>
      <w:r w:rsidR="008D1632" w:rsidRPr="008D1632">
        <w:t>and</w:t>
      </w:r>
      <w:proofErr w:type="gramEnd"/>
      <w:r w:rsidR="008D1632" w:rsidRPr="008D1632">
        <w:t xml:space="preserve"> if so, whether its </w:t>
      </w:r>
      <w:r w:rsidRPr="008D1632">
        <w:t>value needs to be set nationally or regionally</w:t>
      </w:r>
      <w:r w:rsidR="008D1632">
        <w:t>?</w:t>
      </w:r>
      <w:r w:rsidRPr="008D1632">
        <w:t xml:space="preserve"> (so as not to restrict certain areas tax raising powers)</w:t>
      </w:r>
    </w:p>
    <w:p w14:paraId="12ABA88E" w14:textId="409A23B0" w:rsidR="00FD1DBB" w:rsidRDefault="00FD1DBB" w:rsidP="00FD1DBB">
      <w:pPr>
        <w:pStyle w:val="Style15"/>
      </w:pPr>
      <w:r>
        <w:t>How the power should interact with the existing Business Rates Supplement Powers</w:t>
      </w:r>
      <w:r w:rsidR="008D1632">
        <w:t>?</w:t>
      </w:r>
    </w:p>
    <w:p w14:paraId="5E6DFAD1" w14:textId="7457E935" w:rsidR="00FD1DBB" w:rsidRDefault="00FD1DBB" w:rsidP="00FD1DBB">
      <w:pPr>
        <w:pStyle w:val="Style15"/>
      </w:pPr>
      <w:r>
        <w:t>What approval is needed when LEPs have different boundaries to Combined Authority Mayors</w:t>
      </w:r>
      <w:r w:rsidR="008D1632">
        <w:t>?</w:t>
      </w:r>
      <w:r>
        <w:t xml:space="preserve"> </w:t>
      </w:r>
    </w:p>
    <w:p w14:paraId="3C3C1CB6" w14:textId="77777777" w:rsidR="00FD1DBB" w:rsidRDefault="00FD1DBB" w:rsidP="00FD1DBB">
      <w:pPr>
        <w:pStyle w:val="Style15"/>
      </w:pPr>
      <w:r>
        <w:t>How the duration of a levy would be set and how would it be reviewed?</w:t>
      </w:r>
    </w:p>
    <w:p w14:paraId="69264476" w14:textId="77777777" w:rsidR="00FD1DBB" w:rsidRDefault="00FD1DBB" w:rsidP="00FD1DBB">
      <w:pPr>
        <w:pStyle w:val="Style15"/>
      </w:pPr>
      <w:r>
        <w:t xml:space="preserve">What is classified as infrastructure expenditure? </w:t>
      </w:r>
    </w:p>
    <w:p w14:paraId="7C1D549B" w14:textId="6B9A8106" w:rsidR="00FD1DBB" w:rsidRDefault="00FD1DBB" w:rsidP="00FD1DBB">
      <w:pPr>
        <w:pStyle w:val="Style15"/>
      </w:pPr>
      <w:r>
        <w:t>Should there be a single levy to fund multiple projects or multiplier levies funding individual projects</w:t>
      </w:r>
      <w:r w:rsidR="008D1632">
        <w:t>?</w:t>
      </w:r>
    </w:p>
    <w:p w14:paraId="22DC32C4" w14:textId="77777777" w:rsidR="002D1428" w:rsidRDefault="002D1428" w:rsidP="002D1428">
      <w:pPr>
        <w:pStyle w:val="aaa"/>
      </w:pPr>
      <w:r>
        <w:lastRenderedPageBreak/>
        <w:t>The paper identifies a number of further suggestions that have been made regarding the levy, these being:</w:t>
      </w:r>
    </w:p>
    <w:p w14:paraId="749453E7" w14:textId="77777777" w:rsidR="002D1428" w:rsidRDefault="002D1428" w:rsidP="002D1428">
      <w:pPr>
        <w:pStyle w:val="Style15"/>
      </w:pPr>
      <w:r>
        <w:t>Extending the power beyond Combined Authority Mayors – but the paper states that the Government is clear that this new power will be for Combined Authority Mayors only.</w:t>
      </w:r>
    </w:p>
    <w:p w14:paraId="7963C8CA" w14:textId="77777777" w:rsidR="002D1428" w:rsidRDefault="002D1428" w:rsidP="002D1428">
      <w:pPr>
        <w:pStyle w:val="Style15"/>
      </w:pPr>
      <w:r>
        <w:t>Extending consultation beyond LEPs.</w:t>
      </w:r>
    </w:p>
    <w:p w14:paraId="0F96CD09" w14:textId="77777777" w:rsidR="002D1428" w:rsidRDefault="002D1428" w:rsidP="002D1428">
      <w:pPr>
        <w:pStyle w:val="Style15"/>
      </w:pPr>
      <w:r>
        <w:t>Including a discount power for Business Improvement Districts.</w:t>
      </w:r>
    </w:p>
    <w:p w14:paraId="32452D00" w14:textId="274480A7" w:rsidR="002D1428" w:rsidRDefault="002D1428" w:rsidP="002D1428">
      <w:pPr>
        <w:pStyle w:val="Style15"/>
      </w:pPr>
      <w:r>
        <w:t>Extend the use of the levy to fund other types of expenditure e.g. economic development and housing.</w:t>
      </w:r>
    </w:p>
    <w:p w14:paraId="0C43B42D" w14:textId="77777777" w:rsidR="00FD1DBB" w:rsidRDefault="00FD1DBB" w:rsidP="00FD1DBB">
      <w:pPr>
        <w:pStyle w:val="Style15"/>
        <w:numPr>
          <w:ilvl w:val="0"/>
          <w:numId w:val="0"/>
        </w:numPr>
        <w:ind w:left="1559"/>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16"/>
      </w:tblGrid>
      <w:tr w:rsidR="00FD1DBB" w:rsidRPr="00F65D14" w14:paraId="3B76A3B0" w14:textId="77777777" w:rsidTr="00EE1EE3">
        <w:tc>
          <w:tcPr>
            <w:tcW w:w="9316" w:type="dxa"/>
            <w:shd w:val="clear" w:color="auto" w:fill="F2F2F2" w:themeFill="background1" w:themeFillShade="F2"/>
          </w:tcPr>
          <w:p w14:paraId="1C63CB30" w14:textId="77777777" w:rsidR="00FD1DBB" w:rsidRPr="00F65D14" w:rsidRDefault="00FD1DBB" w:rsidP="00EE1EE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25: What are your views on what flexibility levying authorities should have to set a rateable value threshold for the levy?</w:t>
            </w:r>
          </w:p>
        </w:tc>
      </w:tr>
      <w:tr w:rsidR="00FD1DBB" w:rsidRPr="00F65D14" w14:paraId="2FC1C3EE" w14:textId="77777777" w:rsidTr="00EE1EE3">
        <w:tc>
          <w:tcPr>
            <w:tcW w:w="9316" w:type="dxa"/>
            <w:shd w:val="clear" w:color="auto" w:fill="F2F2F2" w:themeFill="background1" w:themeFillShade="F2"/>
          </w:tcPr>
          <w:p w14:paraId="51727A11" w14:textId="77777777" w:rsidR="00FD1DBB" w:rsidRPr="00F65D14" w:rsidRDefault="00FD1DBB" w:rsidP="00EE1EE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26: What are your views on how the infrastructure levy should interact with existing BRS powers?</w:t>
            </w:r>
          </w:p>
        </w:tc>
      </w:tr>
      <w:tr w:rsidR="00FD1DBB" w:rsidRPr="00F65D14" w14:paraId="3680C0A1" w14:textId="77777777" w:rsidTr="00EE1EE3">
        <w:tc>
          <w:tcPr>
            <w:tcW w:w="9316" w:type="dxa"/>
            <w:shd w:val="clear" w:color="auto" w:fill="F2F2F2" w:themeFill="background1" w:themeFillShade="F2"/>
          </w:tcPr>
          <w:p w14:paraId="37864E90" w14:textId="77777777" w:rsidR="00FD1DBB" w:rsidRPr="00F65D14" w:rsidRDefault="00FD1DBB" w:rsidP="00EE1EE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27: What are your views on the process for obtaining approval for a levy from the LEP?</w:t>
            </w:r>
          </w:p>
        </w:tc>
      </w:tr>
      <w:tr w:rsidR="00FD1DBB" w:rsidRPr="00F65D14" w14:paraId="0EEAE9A3" w14:textId="77777777" w:rsidTr="00EE1EE3">
        <w:tc>
          <w:tcPr>
            <w:tcW w:w="9316" w:type="dxa"/>
            <w:shd w:val="clear" w:color="auto" w:fill="F2F2F2" w:themeFill="background1" w:themeFillShade="F2"/>
          </w:tcPr>
          <w:p w14:paraId="046AC3EC" w14:textId="77777777" w:rsidR="00FD1DBB" w:rsidRPr="00F65D14" w:rsidRDefault="00FD1DBB" w:rsidP="00EE1EE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28: What are your views on arrangements for the duration and review of levies?</w:t>
            </w:r>
          </w:p>
        </w:tc>
      </w:tr>
      <w:tr w:rsidR="00FD1DBB" w:rsidRPr="00F65D14" w14:paraId="77389931" w14:textId="77777777" w:rsidTr="00EE1EE3">
        <w:tc>
          <w:tcPr>
            <w:tcW w:w="9316" w:type="dxa"/>
            <w:shd w:val="clear" w:color="auto" w:fill="F2F2F2" w:themeFill="background1" w:themeFillShade="F2"/>
          </w:tcPr>
          <w:p w14:paraId="6511CED4" w14:textId="77777777" w:rsidR="00FD1DBB" w:rsidRPr="00F65D14" w:rsidRDefault="00FD1DBB" w:rsidP="00EE1EE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29: What are your views on how infrastructure should be defined for the purposes of the levy?</w:t>
            </w:r>
          </w:p>
        </w:tc>
      </w:tr>
      <w:tr w:rsidR="00FD1DBB" w:rsidRPr="00F65D14" w14:paraId="013998E0" w14:textId="77777777" w:rsidTr="00EE1EE3">
        <w:tc>
          <w:tcPr>
            <w:tcW w:w="9316" w:type="dxa"/>
            <w:shd w:val="clear" w:color="auto" w:fill="F2F2F2" w:themeFill="background1" w:themeFillShade="F2"/>
          </w:tcPr>
          <w:p w14:paraId="5159E882" w14:textId="77777777" w:rsidR="00FD1DBB" w:rsidRPr="00F65D14" w:rsidRDefault="00FD1DBB" w:rsidP="00EE1EE3">
            <w:pPr>
              <w:widowControl w:val="0"/>
              <w:autoSpaceDE w:val="0"/>
              <w:autoSpaceDN w:val="0"/>
              <w:adjustRightInd w:val="0"/>
              <w:spacing w:before="240" w:after="240" w:line="240" w:lineRule="auto"/>
              <w:rPr>
                <w:rFonts w:cs="Arial"/>
                <w:color w:val="000000"/>
                <w:szCs w:val="22"/>
                <w:lang w:eastAsia="en-GB"/>
              </w:rPr>
            </w:pPr>
            <w:r w:rsidRPr="00F65D14">
              <w:rPr>
                <w:rFonts w:cs="Arial"/>
                <w:bCs/>
                <w:iCs/>
                <w:color w:val="000000"/>
                <w:szCs w:val="22"/>
                <w:lang w:eastAsia="en-GB"/>
              </w:rPr>
              <w:t>Question 30: What are your views on charging multiple levies, or using a single levy to fund multiple infrastructure projects?</w:t>
            </w:r>
          </w:p>
        </w:tc>
      </w:tr>
      <w:tr w:rsidR="002D1428" w:rsidRPr="00F65D14" w14:paraId="7328C28A" w14:textId="77777777" w:rsidTr="00EE1EE3">
        <w:tc>
          <w:tcPr>
            <w:tcW w:w="9316" w:type="dxa"/>
            <w:shd w:val="clear" w:color="auto" w:fill="F2F2F2" w:themeFill="background1" w:themeFillShade="F2"/>
          </w:tcPr>
          <w:p w14:paraId="7B2C7245" w14:textId="439C7AF5" w:rsidR="002D1428" w:rsidRPr="00F65D14" w:rsidRDefault="002D1428" w:rsidP="00EE1EE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31: Do you have views on the above issues or on any other aspects of the power to introduce an infrastructure levy?</w:t>
            </w:r>
          </w:p>
        </w:tc>
      </w:tr>
      <w:tr w:rsidR="002D1428" w:rsidRPr="00F65D14" w14:paraId="5B218025" w14:textId="77777777" w:rsidTr="002D1428">
        <w:tc>
          <w:tcPr>
            <w:tcW w:w="9316" w:type="dxa"/>
            <w:shd w:val="clear" w:color="auto" w:fill="DBE5F1" w:themeFill="accent1" w:themeFillTint="33"/>
          </w:tcPr>
          <w:p w14:paraId="33A85068" w14:textId="104D5001" w:rsidR="002D1428" w:rsidRPr="00F65D14" w:rsidRDefault="002D1428" w:rsidP="002D1428">
            <w:pPr>
              <w:widowControl w:val="0"/>
              <w:autoSpaceDE w:val="0"/>
              <w:autoSpaceDN w:val="0"/>
              <w:adjustRightInd w:val="0"/>
              <w:spacing w:before="240" w:after="240" w:line="240" w:lineRule="auto"/>
              <w:rPr>
                <w:rFonts w:cs="Arial"/>
                <w:bCs/>
                <w:iCs/>
                <w:color w:val="000000"/>
                <w:szCs w:val="22"/>
                <w:lang w:eastAsia="en-GB"/>
              </w:rPr>
            </w:pPr>
          </w:p>
        </w:tc>
      </w:tr>
    </w:tbl>
    <w:p w14:paraId="22A6799D" w14:textId="790F0F0D" w:rsidR="00FD1DBB" w:rsidRDefault="00FD1DBB" w:rsidP="002D1428">
      <w:pPr>
        <w:pStyle w:val="Style15"/>
        <w:rPr>
          <w:color w:val="0074E1"/>
          <w:kern w:val="32"/>
          <w:sz w:val="30"/>
          <w:szCs w:val="32"/>
        </w:rPr>
      </w:pPr>
      <w:r>
        <w:br w:type="page"/>
      </w:r>
    </w:p>
    <w:p w14:paraId="67943115" w14:textId="77777777" w:rsidR="00FD1DBB" w:rsidRDefault="00FD1DBB" w:rsidP="00FD1DBB">
      <w:pPr>
        <w:pStyle w:val="Level1"/>
        <w:keepNext w:val="0"/>
        <w:widowControl w:val="0"/>
      </w:pPr>
      <w:bookmarkStart w:id="15" w:name="_Toc457465060"/>
      <w:r>
        <w:lastRenderedPageBreak/>
        <w:t>Accountability and accounting</w:t>
      </w:r>
      <w:bookmarkEnd w:id="15"/>
    </w:p>
    <w:p w14:paraId="3B2BE38C" w14:textId="77777777" w:rsidR="00FD1DBB" w:rsidRDefault="00FD1DBB" w:rsidP="00FD1DBB">
      <w:pPr>
        <w:pStyle w:val="Level2"/>
        <w:keepNext w:val="0"/>
        <w:widowControl w:val="0"/>
      </w:pPr>
      <w:r>
        <w:t xml:space="preserve">This chapter focuses on the accountability and accounting of the reformed funding system.  </w:t>
      </w:r>
    </w:p>
    <w:p w14:paraId="1DC54170" w14:textId="3DD4179F" w:rsidR="00FD1DBB" w:rsidRDefault="00FD1DBB" w:rsidP="00FD1DBB">
      <w:pPr>
        <w:pStyle w:val="Level2"/>
        <w:keepNext w:val="0"/>
        <w:widowControl w:val="0"/>
      </w:pPr>
      <w:r>
        <w:t xml:space="preserve">The government would like to move away from what it perceives to be central government controlled funding decisions </w:t>
      </w:r>
      <w:r w:rsidR="00A413C2">
        <w:t>(</w:t>
      </w:r>
      <w:r>
        <w:t xml:space="preserve">through the Local Government Finance Report) and the uncertainty of annual funding announcements.  It also seeks views as to where the balance between national and local accountability should fall. </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16"/>
      </w:tblGrid>
      <w:tr w:rsidR="00FD1DBB" w:rsidRPr="00F65D14" w14:paraId="547E7865" w14:textId="77777777" w:rsidTr="00EE1EE3">
        <w:tc>
          <w:tcPr>
            <w:tcW w:w="9316" w:type="dxa"/>
            <w:shd w:val="clear" w:color="auto" w:fill="F2F2F2" w:themeFill="background1" w:themeFillShade="F2"/>
          </w:tcPr>
          <w:p w14:paraId="336C156B" w14:textId="77777777" w:rsidR="00FD1DBB" w:rsidRPr="00F65D14" w:rsidRDefault="00FD1DBB" w:rsidP="00EE1EE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32: Do you have any views on how to increase certainty and strengthen local accountability for councils in setting their budgets?</w:t>
            </w:r>
          </w:p>
        </w:tc>
      </w:tr>
      <w:tr w:rsidR="002D1428" w:rsidRPr="00F65D14" w14:paraId="7DAA50E3" w14:textId="77777777" w:rsidTr="002D1428">
        <w:tc>
          <w:tcPr>
            <w:tcW w:w="9316" w:type="dxa"/>
            <w:shd w:val="clear" w:color="auto" w:fill="DBE5F1" w:themeFill="accent1" w:themeFillTint="33"/>
          </w:tcPr>
          <w:p w14:paraId="35570E70" w14:textId="77777777" w:rsidR="002D1428" w:rsidRDefault="002D1428" w:rsidP="002D1428">
            <w:pPr>
              <w:widowControl w:val="0"/>
              <w:autoSpaceDE w:val="0"/>
              <w:autoSpaceDN w:val="0"/>
              <w:adjustRightInd w:val="0"/>
              <w:spacing w:before="240" w:after="240" w:line="240" w:lineRule="auto"/>
              <w:rPr>
                <w:b/>
                <w:lang w:eastAsia="en-GB"/>
              </w:rPr>
            </w:pPr>
            <w:r w:rsidRPr="00DE69E3">
              <w:rPr>
                <w:b/>
                <w:lang w:eastAsia="en-GB"/>
              </w:rPr>
              <w:t>Potential view of SDCT</w:t>
            </w:r>
          </w:p>
          <w:p w14:paraId="03D78231" w14:textId="4921655A" w:rsidR="002D1428" w:rsidRPr="00F65D14" w:rsidRDefault="006D5815" w:rsidP="006D5815">
            <w:pPr>
              <w:rPr>
                <w:rFonts w:cs="Arial"/>
                <w:bCs/>
                <w:iCs/>
                <w:color w:val="000000"/>
                <w:szCs w:val="22"/>
                <w:lang w:eastAsia="en-GB"/>
              </w:rPr>
            </w:pPr>
            <w:r>
              <w:rPr>
                <w:lang w:eastAsia="en-GB"/>
              </w:rPr>
              <w:t>In establishing the new system, the process for resetting the baseline and timelines involved should be clearly set out.  This was not the case when the system was set up in 2013/14.</w:t>
            </w:r>
          </w:p>
        </w:tc>
      </w:tr>
      <w:tr w:rsidR="00FD1DBB" w:rsidRPr="00F65D14" w14:paraId="5BA8DF48" w14:textId="77777777" w:rsidTr="00EE1EE3">
        <w:tc>
          <w:tcPr>
            <w:tcW w:w="9316" w:type="dxa"/>
            <w:shd w:val="clear" w:color="auto" w:fill="F2F2F2" w:themeFill="background1" w:themeFillShade="F2"/>
          </w:tcPr>
          <w:p w14:paraId="12DDA252" w14:textId="77777777" w:rsidR="00FD1DBB" w:rsidRPr="00F65D14" w:rsidRDefault="00FD1DBB" w:rsidP="00EE1EE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33: Do you have views on where the balance between national and local accountability should fall, and how best to minimise any overlaps in accountability?</w:t>
            </w:r>
          </w:p>
        </w:tc>
      </w:tr>
      <w:tr w:rsidR="002D1428" w:rsidRPr="00F65D14" w14:paraId="3EDAC394" w14:textId="77777777" w:rsidTr="002D1428">
        <w:tc>
          <w:tcPr>
            <w:tcW w:w="9316" w:type="dxa"/>
            <w:shd w:val="clear" w:color="auto" w:fill="DBE5F1" w:themeFill="accent1" w:themeFillTint="33"/>
          </w:tcPr>
          <w:p w14:paraId="62D5CB07" w14:textId="05C79461" w:rsidR="002D1428" w:rsidRPr="00F65D14" w:rsidRDefault="002D1428" w:rsidP="002D1428">
            <w:pPr>
              <w:widowControl w:val="0"/>
              <w:autoSpaceDE w:val="0"/>
              <w:autoSpaceDN w:val="0"/>
              <w:adjustRightInd w:val="0"/>
              <w:spacing w:before="240" w:after="240" w:line="240" w:lineRule="auto"/>
              <w:rPr>
                <w:rFonts w:cs="Arial"/>
                <w:bCs/>
                <w:iCs/>
                <w:color w:val="000000"/>
                <w:szCs w:val="22"/>
                <w:lang w:eastAsia="en-GB"/>
              </w:rPr>
            </w:pPr>
          </w:p>
        </w:tc>
      </w:tr>
    </w:tbl>
    <w:p w14:paraId="788AAF89" w14:textId="77777777" w:rsidR="00FD1DBB" w:rsidRDefault="00FD1DBB" w:rsidP="00FD1DBB">
      <w:pPr>
        <w:pStyle w:val="aaa"/>
      </w:pPr>
      <w:r>
        <w:t xml:space="preserve">Whilst there would be no central government payment required from Collection Fund accounts under 100% BRR, the government believe they are still a necessary feature of local government finance i.e. billing and precepting authorities will continue for both council tax and business rates and a number of disclosures in the Collection fund Account are required by statute.  The paper seeks views as to whether this should be the case.   </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16"/>
      </w:tblGrid>
      <w:tr w:rsidR="00FD1DBB" w:rsidRPr="00F65D14" w14:paraId="069815A1" w14:textId="77777777" w:rsidTr="00EE1EE3">
        <w:tc>
          <w:tcPr>
            <w:tcW w:w="9316" w:type="dxa"/>
            <w:shd w:val="clear" w:color="auto" w:fill="F2F2F2" w:themeFill="background1" w:themeFillShade="F2"/>
          </w:tcPr>
          <w:p w14:paraId="7B7D0790" w14:textId="77777777" w:rsidR="00FD1DBB" w:rsidRPr="00F65D14" w:rsidRDefault="00FD1DBB" w:rsidP="00EE1EE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34: Do you have views on whether the requirement to prepare a Collection Fund Account should remain in the new system?</w:t>
            </w:r>
          </w:p>
        </w:tc>
      </w:tr>
      <w:tr w:rsidR="002D1428" w:rsidRPr="00F65D14" w14:paraId="434546DB" w14:textId="77777777" w:rsidTr="002D1428">
        <w:tc>
          <w:tcPr>
            <w:tcW w:w="9316" w:type="dxa"/>
            <w:shd w:val="clear" w:color="auto" w:fill="DBE5F1" w:themeFill="accent1" w:themeFillTint="33"/>
          </w:tcPr>
          <w:p w14:paraId="53BC1CD8" w14:textId="77777777" w:rsidR="002D1428" w:rsidRDefault="002D1428" w:rsidP="002D1428">
            <w:pPr>
              <w:widowControl w:val="0"/>
              <w:autoSpaceDE w:val="0"/>
              <w:autoSpaceDN w:val="0"/>
              <w:adjustRightInd w:val="0"/>
              <w:spacing w:before="240" w:after="240" w:line="240" w:lineRule="auto"/>
              <w:rPr>
                <w:b/>
                <w:lang w:eastAsia="en-GB"/>
              </w:rPr>
            </w:pPr>
            <w:r w:rsidRPr="00DE69E3">
              <w:rPr>
                <w:b/>
                <w:lang w:eastAsia="en-GB"/>
              </w:rPr>
              <w:t>Potential view of SDCT</w:t>
            </w:r>
          </w:p>
          <w:p w14:paraId="1B05A986" w14:textId="2455AC81" w:rsidR="002D1428" w:rsidRPr="00F65D14" w:rsidRDefault="006D5815" w:rsidP="006D5815">
            <w:pPr>
              <w:rPr>
                <w:rFonts w:cs="Arial"/>
                <w:bCs/>
                <w:iCs/>
                <w:color w:val="000000"/>
                <w:szCs w:val="22"/>
                <w:lang w:eastAsia="en-GB"/>
              </w:rPr>
            </w:pPr>
            <w:r>
              <w:t xml:space="preserve">The Collection Fund account is vital to the local authorities in damping the impact of income variability in year (for both Council Tax and Business Rates).  Whilst income levels do need to be monitored, the Collection Fund account provides a buffer that (i) allows authorities to plan for any changes to its resource levels and (ii) allows preceptors to know their resource levels for the year (and therefore reduces the burden on billing authority and preceptor regarding updates).  </w:t>
            </w:r>
          </w:p>
        </w:tc>
      </w:tr>
    </w:tbl>
    <w:p w14:paraId="13826DC6" w14:textId="77777777" w:rsidR="00FD1DBB" w:rsidRDefault="00FD1DBB" w:rsidP="00FD1DBB">
      <w:pPr>
        <w:pStyle w:val="aaa"/>
      </w:pPr>
      <w:r>
        <w:t xml:space="preserve">The requirement to produce a balanced budget is part of the local authority financial control framework.  Government do not want to see this requirement removed, but believe that the way </w:t>
      </w:r>
      <w:r>
        <w:lastRenderedPageBreak/>
        <w:t>that local authorities calculate a balanced budget no longer aligns with the way they actually manage their finances.  The paper therefore seeks views on how this could be improved.</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16"/>
      </w:tblGrid>
      <w:tr w:rsidR="00FD1DBB" w:rsidRPr="00F65D14" w14:paraId="347E084E" w14:textId="77777777" w:rsidTr="00EE1EE3">
        <w:tc>
          <w:tcPr>
            <w:tcW w:w="9316" w:type="dxa"/>
            <w:shd w:val="clear" w:color="auto" w:fill="F2F2F2" w:themeFill="background1" w:themeFillShade="F2"/>
          </w:tcPr>
          <w:p w14:paraId="0DBA05D2" w14:textId="77777777" w:rsidR="00FD1DBB" w:rsidRPr="00F65D14" w:rsidRDefault="00FD1DBB" w:rsidP="00EE1EE3">
            <w:pPr>
              <w:widowControl w:val="0"/>
              <w:autoSpaceDE w:val="0"/>
              <w:autoSpaceDN w:val="0"/>
              <w:adjustRightInd w:val="0"/>
              <w:spacing w:before="240" w:after="240" w:line="240" w:lineRule="auto"/>
              <w:rPr>
                <w:rFonts w:cs="Arial"/>
                <w:bCs/>
                <w:iCs/>
                <w:color w:val="000000"/>
                <w:szCs w:val="22"/>
                <w:lang w:eastAsia="en-GB"/>
              </w:rPr>
            </w:pPr>
            <w:r w:rsidRPr="00F65D14">
              <w:rPr>
                <w:rFonts w:cs="Arial"/>
                <w:bCs/>
                <w:iCs/>
                <w:color w:val="000000"/>
                <w:szCs w:val="22"/>
                <w:lang w:eastAsia="en-GB"/>
              </w:rPr>
              <w:t>Question 35: Do you have views on how the calculation of a balanced budget may be altered to be better aligned with the way local authorities run their business?</w:t>
            </w:r>
          </w:p>
        </w:tc>
      </w:tr>
      <w:tr w:rsidR="002D1428" w:rsidRPr="00F65D14" w14:paraId="1F20D006" w14:textId="77777777" w:rsidTr="002D1428">
        <w:tc>
          <w:tcPr>
            <w:tcW w:w="9316" w:type="dxa"/>
            <w:shd w:val="clear" w:color="auto" w:fill="DBE5F1" w:themeFill="accent1" w:themeFillTint="33"/>
          </w:tcPr>
          <w:p w14:paraId="48D93A84" w14:textId="77777777" w:rsidR="002D1428" w:rsidRDefault="002D1428" w:rsidP="002D1428">
            <w:pPr>
              <w:widowControl w:val="0"/>
              <w:autoSpaceDE w:val="0"/>
              <w:autoSpaceDN w:val="0"/>
              <w:adjustRightInd w:val="0"/>
              <w:spacing w:before="240" w:after="240" w:line="240" w:lineRule="auto"/>
              <w:rPr>
                <w:b/>
                <w:lang w:eastAsia="en-GB"/>
              </w:rPr>
            </w:pPr>
            <w:r w:rsidRPr="00DE69E3">
              <w:rPr>
                <w:b/>
                <w:lang w:eastAsia="en-GB"/>
              </w:rPr>
              <w:t>Potential view of SDCT</w:t>
            </w:r>
          </w:p>
          <w:p w14:paraId="4BDF4B87" w14:textId="77777777" w:rsidR="006D5815" w:rsidRDefault="006D5815" w:rsidP="006D5815">
            <w:r>
              <w:t xml:space="preserve">Local authorities are constrained by the need to set an annual balanced budget.  Whilst it is possible the vast majority of authorities would not move away from this practice, even if flexibilities were increased, having the ability to do so may be critical for the limited number with a specific set of circumstances.  </w:t>
            </w:r>
          </w:p>
          <w:p w14:paraId="4BC6A7D1" w14:textId="30AC6D1C" w:rsidR="002D1428" w:rsidRPr="00F65D14" w:rsidRDefault="006D5815" w:rsidP="006D5815">
            <w:pPr>
              <w:rPr>
                <w:rFonts w:cs="Arial"/>
                <w:bCs/>
                <w:iCs/>
                <w:color w:val="000000"/>
                <w:szCs w:val="22"/>
                <w:lang w:eastAsia="en-GB"/>
              </w:rPr>
            </w:pPr>
            <w:r>
              <w:t>There are a number of factors that now mean increased freedoms around budgeting are now more appropriate, including the variability of local authority income and i</w:t>
            </w:r>
            <w:r w:rsidR="00993569">
              <w:t>t</w:t>
            </w:r>
            <w:bookmarkStart w:id="16" w:name="_GoBack"/>
            <w:bookmarkEnd w:id="16"/>
            <w:r>
              <w:t>s increasing sensitivity to the economic cycle; alongside the policies such as Business Rate Retention and New Homes Bonus that provide incentives linked to investment</w:t>
            </w:r>
          </w:p>
        </w:tc>
      </w:tr>
    </w:tbl>
    <w:p w14:paraId="621168F5" w14:textId="77777777" w:rsidR="00FD1DBB" w:rsidRDefault="00FD1DBB" w:rsidP="00FD1DBB">
      <w:pPr>
        <w:pStyle w:val="aaa"/>
      </w:pPr>
      <w:r>
        <w:t>The paper highlights the role of the current NNDR1 and NNDR3 forms, suggesting what whilst still necessary in some form, some elements may no longer apply.  It therefore seeks views on how these forms could be improved</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16"/>
      </w:tblGrid>
      <w:tr w:rsidR="00FD1DBB" w:rsidRPr="00F65D14" w14:paraId="4B908AA7" w14:textId="77777777" w:rsidTr="00EE1EE3">
        <w:tc>
          <w:tcPr>
            <w:tcW w:w="9316" w:type="dxa"/>
            <w:shd w:val="clear" w:color="auto" w:fill="F2F2F2" w:themeFill="background1" w:themeFillShade="F2"/>
          </w:tcPr>
          <w:p w14:paraId="50F469ED" w14:textId="77777777" w:rsidR="00FD1DBB" w:rsidRPr="00F65D14" w:rsidRDefault="00FD1DBB" w:rsidP="00EE1EE3">
            <w:pPr>
              <w:widowControl w:val="0"/>
              <w:autoSpaceDE w:val="0"/>
              <w:autoSpaceDN w:val="0"/>
              <w:adjustRightInd w:val="0"/>
              <w:spacing w:before="240" w:after="240" w:line="240" w:lineRule="auto"/>
              <w:rPr>
                <w:rFonts w:cs="Arial"/>
                <w:color w:val="000000"/>
                <w:szCs w:val="22"/>
                <w:lang w:eastAsia="en-GB"/>
              </w:rPr>
            </w:pPr>
            <w:r w:rsidRPr="00F65D14">
              <w:rPr>
                <w:rFonts w:cs="Arial"/>
                <w:bCs/>
                <w:iCs/>
                <w:color w:val="000000"/>
                <w:szCs w:val="22"/>
                <w:lang w:eastAsia="en-GB"/>
              </w:rPr>
              <w:t>Question 36: Do you have views on how the Business Rates data collection activities may be altered to collect and record information in a more timely and transparent manner?</w:t>
            </w:r>
          </w:p>
        </w:tc>
      </w:tr>
      <w:tr w:rsidR="002D1428" w:rsidRPr="00F65D14" w14:paraId="630FB37C" w14:textId="77777777" w:rsidTr="002D1428">
        <w:tc>
          <w:tcPr>
            <w:tcW w:w="9316" w:type="dxa"/>
            <w:shd w:val="clear" w:color="auto" w:fill="DBE5F1" w:themeFill="accent1" w:themeFillTint="33"/>
          </w:tcPr>
          <w:p w14:paraId="15BF32E2" w14:textId="27AB8ED6" w:rsidR="002D1428" w:rsidRPr="006D5815" w:rsidRDefault="006D5815" w:rsidP="006D5815">
            <w:pPr>
              <w:rPr>
                <w:i/>
                <w:lang w:eastAsia="en-GB"/>
              </w:rPr>
            </w:pPr>
            <w:r w:rsidRPr="006D5815">
              <w:rPr>
                <w:i/>
              </w:rPr>
              <w:t xml:space="preserve">&gt;&gt;&gt; Officers responsible for the collection of business rates / submission of data to answer.   </w:t>
            </w:r>
          </w:p>
        </w:tc>
      </w:tr>
    </w:tbl>
    <w:p w14:paraId="423D0F0C" w14:textId="25EAFA52" w:rsidR="00F65D14" w:rsidRPr="00F65D14" w:rsidRDefault="00F65D14" w:rsidP="00CB7848">
      <w:pPr>
        <w:widowControl w:val="0"/>
        <w:spacing w:before="0" w:after="0" w:line="240" w:lineRule="auto"/>
        <w:rPr>
          <w:rFonts w:cs="Arial"/>
          <w:color w:val="000000"/>
          <w:szCs w:val="22"/>
          <w:lang w:eastAsia="en-GB"/>
        </w:rPr>
      </w:pPr>
    </w:p>
    <w:sectPr w:rsidR="00F65D14" w:rsidRPr="00F65D14" w:rsidSect="00756608">
      <w:pgSz w:w="11900" w:h="16840" w:code="9"/>
      <w:pgMar w:top="720" w:right="720" w:bottom="720" w:left="720" w:header="839" w:footer="799" w:gutter="0"/>
      <w:cols w:space="708"/>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6E81B" w14:textId="77777777" w:rsidR="00650ACC" w:rsidRDefault="00650ACC">
      <w:pPr>
        <w:spacing w:before="0" w:after="0" w:line="240" w:lineRule="auto"/>
      </w:pPr>
      <w:r>
        <w:separator/>
      </w:r>
    </w:p>
  </w:endnote>
  <w:endnote w:type="continuationSeparator" w:id="0">
    <w:p w14:paraId="2346C686" w14:textId="77777777" w:rsidR="00650ACC" w:rsidRDefault="00650A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ArialMT">
    <w:altName w:val="Arial"/>
    <w:panose1 w:val="00000000000000000000"/>
    <w:charset w:val="4D"/>
    <w:family w:val="auto"/>
    <w:notTrueType/>
    <w:pitch w:val="default"/>
    <w:sig w:usb0="03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34BA9" w14:textId="77777777" w:rsidR="001F2918" w:rsidRDefault="001F2918" w:rsidP="0058513B">
    <w:pPr>
      <w:pStyle w:val="Footer"/>
      <w:ind w:firstLine="720"/>
    </w:pPr>
    <w:r>
      <w:rPr>
        <w:noProof/>
        <w:lang w:eastAsia="en-GB"/>
      </w:rPr>
      <w:drawing>
        <wp:anchor distT="0" distB="0" distL="114300" distR="114300" simplePos="0" relativeHeight="251663872" behindDoc="0" locked="0" layoutInCell="1" allowOverlap="1" wp14:anchorId="4B5D1747" wp14:editId="4D52E418">
          <wp:simplePos x="0" y="0"/>
          <wp:positionH relativeFrom="column">
            <wp:posOffset>-65837</wp:posOffset>
          </wp:positionH>
          <wp:positionV relativeFrom="page">
            <wp:posOffset>9802368</wp:posOffset>
          </wp:positionV>
          <wp:extent cx="6484620" cy="970915"/>
          <wp:effectExtent l="0" t="0" r="0" b="0"/>
          <wp:wrapNone/>
          <wp:docPr id="5" name="Picture 5" descr="FINANCE WITH VISION &#10;LG Futures Ltd., Marlowe House, Watling Street, Hockliffe, Leighton Buzzard LU7 9LS | www.lgfutures.co.uk | T. 01908 410811&#10;Incorporated in England and Wales under registration number: 05308266 | VAT registration number: 855940493&#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FINANCE WITH VISION &#10;LG Futures Ltd., Marlowe House, Watling Street, Hockliffe, Leighton Buzzard LU7 9LS | www.lgfutures.co.uk | T. 01908 410811&#10;Incorporated in England and Wales under registration number: 05308266 | VAT registration number: 855940493&#10;&#10;&#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4620" cy="97091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8995C" w14:textId="2DEDF058" w:rsidR="001F2918" w:rsidRDefault="001F2918">
    <w:r>
      <w:rPr>
        <w:noProof/>
        <w:szCs w:val="20"/>
        <w:lang w:eastAsia="en-GB"/>
      </w:rPr>
      <mc:AlternateContent>
        <mc:Choice Requires="wps">
          <w:drawing>
            <wp:anchor distT="0" distB="0" distL="114300" distR="114300" simplePos="0" relativeHeight="251654656" behindDoc="0" locked="0" layoutInCell="1" allowOverlap="1" wp14:anchorId="21811E47" wp14:editId="04CFAB5E">
              <wp:simplePos x="0" y="0"/>
              <wp:positionH relativeFrom="column">
                <wp:posOffset>-12065</wp:posOffset>
              </wp:positionH>
              <wp:positionV relativeFrom="page">
                <wp:align>bottom</wp:align>
              </wp:positionV>
              <wp:extent cx="6286500" cy="970915"/>
              <wp:effectExtent l="0" t="0" r="0" b="63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F2070" w14:textId="77777777" w:rsidR="001F2918" w:rsidRPr="00545928" w:rsidRDefault="001F2918" w:rsidP="00545928">
                          <w:pPr>
                            <w:pStyle w:val="BasicParagraph"/>
                            <w:pBdr>
                              <w:bottom w:val="single" w:sz="4" w:space="4" w:color="7F7F7F"/>
                            </w:pBdr>
                            <w:tabs>
                              <w:tab w:val="right" w:pos="9860"/>
                            </w:tabs>
                            <w:spacing w:after="100" w:line="400" w:lineRule="exact"/>
                            <w:rPr>
                              <w:rFonts w:ascii="ArialMT" w:hAnsi="ArialMT"/>
                              <w:color w:val="7F7F7F"/>
                              <w:spacing w:val="10"/>
                              <w:sz w:val="16"/>
                              <w:szCs w:val="16"/>
                            </w:rPr>
                          </w:pPr>
                          <w:r w:rsidRPr="00545928">
                            <w:rPr>
                              <w:rFonts w:ascii="ArialMT" w:hAnsi="ArialMT"/>
                              <w:color w:val="7F7F7F"/>
                              <w:spacing w:val="14"/>
                            </w:rPr>
                            <w:t>FINANC</w:t>
                          </w:r>
                          <w:r>
                            <w:rPr>
                              <w:rFonts w:ascii="ArialMT" w:hAnsi="ArialMT"/>
                              <w:color w:val="7F7F7F"/>
                              <w:spacing w:val="14"/>
                            </w:rPr>
                            <w:t xml:space="preserve">E </w:t>
                          </w:r>
                          <w:r w:rsidRPr="00545928">
                            <w:rPr>
                              <w:rFonts w:ascii="ArialMT" w:hAnsi="ArialMT"/>
                              <w:color w:val="7F7F7F"/>
                              <w:spacing w:val="14"/>
                            </w:rPr>
                            <w:t>WITH VISION</w:t>
                          </w:r>
                          <w:r w:rsidRPr="00545928">
                            <w:rPr>
                              <w:rFonts w:ascii="ArialMT" w:hAnsi="ArialMT"/>
                              <w:color w:val="7F7F7F"/>
                              <w:spacing w:val="14"/>
                            </w:rPr>
                            <w:tab/>
                          </w:r>
                          <w:r w:rsidRPr="00545928">
                            <w:rPr>
                              <w:rFonts w:ascii="ArialMT" w:hAnsi="ArialMT"/>
                              <w:color w:val="7F7F7F"/>
                              <w:spacing w:val="14"/>
                            </w:rPr>
                            <w:fldChar w:fldCharType="begin"/>
                          </w:r>
                          <w:r w:rsidRPr="00545928">
                            <w:rPr>
                              <w:rFonts w:ascii="ArialMT" w:hAnsi="ArialMT"/>
                              <w:color w:val="7F7F7F"/>
                              <w:spacing w:val="14"/>
                            </w:rPr>
                            <w:instrText xml:space="preserve"> PAGE </w:instrText>
                          </w:r>
                          <w:r w:rsidRPr="00545928">
                            <w:rPr>
                              <w:rFonts w:ascii="ArialMT" w:hAnsi="ArialMT"/>
                              <w:color w:val="7F7F7F"/>
                              <w:spacing w:val="14"/>
                            </w:rPr>
                            <w:fldChar w:fldCharType="separate"/>
                          </w:r>
                          <w:r w:rsidR="00993569">
                            <w:rPr>
                              <w:rFonts w:ascii="ArialMT" w:hAnsi="ArialMT"/>
                              <w:noProof/>
                              <w:color w:val="7F7F7F"/>
                              <w:spacing w:val="14"/>
                            </w:rPr>
                            <w:t>9</w:t>
                          </w:r>
                          <w:r w:rsidRPr="00545928">
                            <w:rPr>
                              <w:rFonts w:ascii="ArialMT" w:hAnsi="ArialMT"/>
                              <w:color w:val="7F7F7F"/>
                              <w:spacing w:val="14"/>
                            </w:rPr>
                            <w:fldChar w:fldCharType="end"/>
                          </w:r>
                        </w:p>
                        <w:p w14:paraId="6E1C5555" w14:textId="77777777" w:rsidR="001F2918" w:rsidRDefault="001F29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11E47" id="_x0000_t202" coordsize="21600,21600" o:spt="202" path="m,l,21600r21600,l21600,xe">
              <v:stroke joinstyle="miter"/>
              <v:path gradientshapeok="t" o:connecttype="rect"/>
            </v:shapetype>
            <v:shape id="Text Box 18" o:spid="_x0000_s1027" type="#_x0000_t202" style="position:absolute;margin-left:-.95pt;margin-top:0;width:495pt;height:76.45pt;z-index:251654656;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" filled="f" stroked="f">
              <v:textbox inset="0,0,0,0">
                <w:txbxContent>
                  <w:p w14:paraId="5DCF2070" w14:textId="77777777" w:rsidR="001F2918" w:rsidRPr="00545928" w:rsidRDefault="001F2918" w:rsidP="00545928">
                    <w:pPr>
                      <w:pStyle w:val="BasicParagraph"/>
                      <w:pBdr>
                        <w:bottom w:val="single" w:sz="4" w:space="4" w:color="7F7F7F"/>
                      </w:pBdr>
                      <w:tabs>
                        <w:tab w:val="right" w:pos="9860"/>
                      </w:tabs>
                      <w:spacing w:after="100" w:line="400" w:lineRule="exact"/>
                      <w:rPr>
                        <w:rFonts w:ascii="ArialMT" w:hAnsi="ArialMT"/>
                        <w:color w:val="7F7F7F"/>
                        <w:spacing w:val="10"/>
                        <w:sz w:val="16"/>
                        <w:szCs w:val="16"/>
                      </w:rPr>
                    </w:pPr>
                    <w:r w:rsidRPr="00545928">
                      <w:rPr>
                        <w:rFonts w:ascii="ArialMT" w:hAnsi="ArialMT"/>
                        <w:color w:val="7F7F7F"/>
                        <w:spacing w:val="14"/>
                      </w:rPr>
                      <w:t>FINANC</w:t>
                    </w:r>
                    <w:r>
                      <w:rPr>
                        <w:rFonts w:ascii="ArialMT" w:hAnsi="ArialMT"/>
                        <w:color w:val="7F7F7F"/>
                        <w:spacing w:val="14"/>
                      </w:rPr>
                      <w:t xml:space="preserve">E </w:t>
                    </w:r>
                    <w:r w:rsidRPr="00545928">
                      <w:rPr>
                        <w:rFonts w:ascii="ArialMT" w:hAnsi="ArialMT"/>
                        <w:color w:val="7F7F7F"/>
                        <w:spacing w:val="14"/>
                      </w:rPr>
                      <w:t>WITH VISION</w:t>
                    </w:r>
                    <w:r w:rsidRPr="00545928">
                      <w:rPr>
                        <w:rFonts w:ascii="ArialMT" w:hAnsi="ArialMT"/>
                        <w:color w:val="7F7F7F"/>
                        <w:spacing w:val="14"/>
                      </w:rPr>
                      <w:tab/>
                    </w:r>
                    <w:r w:rsidRPr="00545928">
                      <w:rPr>
                        <w:rFonts w:ascii="ArialMT" w:hAnsi="ArialMT"/>
                        <w:color w:val="7F7F7F"/>
                        <w:spacing w:val="14"/>
                      </w:rPr>
                      <w:fldChar w:fldCharType="begin"/>
                    </w:r>
                    <w:r w:rsidRPr="00545928">
                      <w:rPr>
                        <w:rFonts w:ascii="ArialMT" w:hAnsi="ArialMT"/>
                        <w:color w:val="7F7F7F"/>
                        <w:spacing w:val="14"/>
                      </w:rPr>
                      <w:instrText xml:space="preserve"> PAGE </w:instrText>
                    </w:r>
                    <w:r w:rsidRPr="00545928">
                      <w:rPr>
                        <w:rFonts w:ascii="ArialMT" w:hAnsi="ArialMT"/>
                        <w:color w:val="7F7F7F"/>
                        <w:spacing w:val="14"/>
                      </w:rPr>
                      <w:fldChar w:fldCharType="separate"/>
                    </w:r>
                    <w:r w:rsidR="00993569">
                      <w:rPr>
                        <w:rFonts w:ascii="ArialMT" w:hAnsi="ArialMT"/>
                        <w:noProof/>
                        <w:color w:val="7F7F7F"/>
                        <w:spacing w:val="14"/>
                      </w:rPr>
                      <w:t>9</w:t>
                    </w:r>
                    <w:r w:rsidRPr="00545928">
                      <w:rPr>
                        <w:rFonts w:ascii="ArialMT" w:hAnsi="ArialMT"/>
                        <w:color w:val="7F7F7F"/>
                        <w:spacing w:val="14"/>
                      </w:rPr>
                      <w:fldChar w:fldCharType="end"/>
                    </w:r>
                  </w:p>
                  <w:p w14:paraId="6E1C5555" w14:textId="77777777" w:rsidR="001F2918" w:rsidRDefault="001F2918"/>
                </w:txbxContent>
              </v:textbox>
              <w10:wrap anchory="page"/>
            </v:shape>
          </w:pict>
        </mc:Fallback>
      </mc:AlternateContent>
    </w:r>
  </w:p>
  <w:p w14:paraId="4F70484C" w14:textId="77777777" w:rsidR="001F2918" w:rsidRPr="00777321" w:rsidRDefault="001F2918" w:rsidP="005851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58B91" w14:textId="00FED88C" w:rsidR="001F2918" w:rsidRDefault="001F2918" w:rsidP="0058513B">
    <w:pPr>
      <w:pStyle w:val="Footer"/>
      <w:ind w:firstLine="720"/>
    </w:pPr>
    <w:r>
      <w:rPr>
        <w:noProof/>
        <w:lang w:eastAsia="en-GB"/>
      </w:rPr>
      <mc:AlternateContent>
        <mc:Choice Requires="wps">
          <w:drawing>
            <wp:anchor distT="0" distB="0" distL="114300" distR="114300" simplePos="0" relativeHeight="251657728" behindDoc="0" locked="0" layoutInCell="1" allowOverlap="1" wp14:anchorId="441A3F84" wp14:editId="2097F781">
              <wp:simplePos x="0" y="0"/>
              <wp:positionH relativeFrom="column">
                <wp:posOffset>-836295</wp:posOffset>
              </wp:positionH>
              <wp:positionV relativeFrom="page">
                <wp:posOffset>6886575</wp:posOffset>
              </wp:positionV>
              <wp:extent cx="10096500" cy="352425"/>
              <wp:effectExtent l="0" t="0" r="0" b="9525"/>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54681" w14:textId="77777777" w:rsidR="001F2918" w:rsidRPr="00545928" w:rsidRDefault="001F2918" w:rsidP="00076347">
                          <w:pPr>
                            <w:pStyle w:val="BasicParagraph"/>
                            <w:pBdr>
                              <w:bottom w:val="single" w:sz="4" w:space="4" w:color="7F7F7F"/>
                            </w:pBdr>
                            <w:tabs>
                              <w:tab w:val="right" w:pos="15876"/>
                            </w:tabs>
                            <w:spacing w:after="100" w:line="400" w:lineRule="exact"/>
                            <w:rPr>
                              <w:rFonts w:ascii="ArialMT" w:hAnsi="ArialMT"/>
                              <w:color w:val="7F7F7F"/>
                              <w:spacing w:val="10"/>
                              <w:sz w:val="16"/>
                              <w:szCs w:val="16"/>
                            </w:rPr>
                          </w:pPr>
                          <w:r w:rsidRPr="00545928">
                            <w:rPr>
                              <w:rFonts w:ascii="ArialMT" w:hAnsi="ArialMT"/>
                              <w:color w:val="7F7F7F"/>
                              <w:spacing w:val="14"/>
                            </w:rPr>
                            <w:t>FINANCIAL CONSULTING WITH VISION</w:t>
                          </w:r>
                          <w:r w:rsidRPr="00545928">
                            <w:rPr>
                              <w:rFonts w:ascii="ArialMT" w:hAnsi="ArialMT"/>
                              <w:color w:val="7F7F7F"/>
                              <w:spacing w:val="14"/>
                            </w:rPr>
                            <w:tab/>
                          </w:r>
                          <w:r w:rsidRPr="00545928">
                            <w:rPr>
                              <w:rFonts w:ascii="ArialMT" w:hAnsi="ArialMT"/>
                              <w:color w:val="7F7F7F"/>
                              <w:spacing w:val="14"/>
                            </w:rPr>
                            <w:fldChar w:fldCharType="begin"/>
                          </w:r>
                          <w:r w:rsidRPr="00545928">
                            <w:rPr>
                              <w:rFonts w:ascii="ArialMT" w:hAnsi="ArialMT"/>
                              <w:color w:val="7F7F7F"/>
                              <w:spacing w:val="14"/>
                            </w:rPr>
                            <w:instrText xml:space="preserve"> PAGE </w:instrText>
                          </w:r>
                          <w:r w:rsidRPr="00545928">
                            <w:rPr>
                              <w:rFonts w:ascii="ArialMT" w:hAnsi="ArialMT"/>
                              <w:color w:val="7F7F7F"/>
                              <w:spacing w:val="14"/>
                            </w:rPr>
                            <w:fldChar w:fldCharType="separate"/>
                          </w:r>
                          <w:r>
                            <w:rPr>
                              <w:rFonts w:ascii="ArialMT" w:hAnsi="ArialMT"/>
                              <w:noProof/>
                              <w:color w:val="7F7F7F"/>
                              <w:spacing w:val="14"/>
                            </w:rPr>
                            <w:t>2</w:t>
                          </w:r>
                          <w:r w:rsidRPr="00545928">
                            <w:rPr>
                              <w:rFonts w:ascii="ArialMT" w:hAnsi="ArialMT"/>
                              <w:color w:val="7F7F7F"/>
                              <w:spacing w:val="14"/>
                            </w:rPr>
                            <w:fldChar w:fldCharType="end"/>
                          </w:r>
                        </w:p>
                        <w:p w14:paraId="75CE8300" w14:textId="77777777" w:rsidR="001F2918" w:rsidRDefault="001F2918" w:rsidP="00076347">
                          <w:pPr>
                            <w:tabs>
                              <w:tab w:val="right" w:pos="15026"/>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A3F84" id="_x0000_t202" coordsize="21600,21600" o:spt="202" path="m,l,21600r21600,l21600,xe">
              <v:stroke joinstyle="miter"/>
              <v:path gradientshapeok="t" o:connecttype="rect"/>
            </v:shapetype>
            <v:shape id="Text Box 61" o:spid="_x0000_s1028" type="#_x0000_t202" style="position:absolute;left:0;text-align:left;margin-left:-65.85pt;margin-top:542.25pt;width:79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" filled="f" stroked="f">
              <v:textbox inset="0,0,0,0">
                <w:txbxContent>
                  <w:p w14:paraId="0BE54681" w14:textId="77777777" w:rsidR="001F2918" w:rsidRPr="00545928" w:rsidRDefault="001F2918" w:rsidP="00076347">
                    <w:pPr>
                      <w:pStyle w:val="BasicParagraph"/>
                      <w:pBdr>
                        <w:bottom w:val="single" w:sz="4" w:space="4" w:color="7F7F7F"/>
                      </w:pBdr>
                      <w:tabs>
                        <w:tab w:val="right" w:pos="15876"/>
                      </w:tabs>
                      <w:spacing w:after="100" w:line="400" w:lineRule="exact"/>
                      <w:rPr>
                        <w:rFonts w:ascii="ArialMT" w:hAnsi="ArialMT"/>
                        <w:color w:val="7F7F7F"/>
                        <w:spacing w:val="10"/>
                        <w:sz w:val="16"/>
                        <w:szCs w:val="16"/>
                      </w:rPr>
                    </w:pPr>
                    <w:r w:rsidRPr="00545928">
                      <w:rPr>
                        <w:rFonts w:ascii="ArialMT" w:hAnsi="ArialMT"/>
                        <w:color w:val="7F7F7F"/>
                        <w:spacing w:val="14"/>
                      </w:rPr>
                      <w:t>FINANCIAL CONSULTING WITH VISION</w:t>
                    </w:r>
                    <w:r w:rsidRPr="00545928">
                      <w:rPr>
                        <w:rFonts w:ascii="ArialMT" w:hAnsi="ArialMT"/>
                        <w:color w:val="7F7F7F"/>
                        <w:spacing w:val="14"/>
                      </w:rPr>
                      <w:tab/>
                    </w:r>
                    <w:r w:rsidRPr="00545928">
                      <w:rPr>
                        <w:rFonts w:ascii="ArialMT" w:hAnsi="ArialMT"/>
                        <w:color w:val="7F7F7F"/>
                        <w:spacing w:val="14"/>
                      </w:rPr>
                      <w:fldChar w:fldCharType="begin"/>
                    </w:r>
                    <w:r w:rsidRPr="00545928">
                      <w:rPr>
                        <w:rFonts w:ascii="ArialMT" w:hAnsi="ArialMT"/>
                        <w:color w:val="7F7F7F"/>
                        <w:spacing w:val="14"/>
                      </w:rPr>
                      <w:instrText xml:space="preserve"> PAGE </w:instrText>
                    </w:r>
                    <w:r w:rsidRPr="00545928">
                      <w:rPr>
                        <w:rFonts w:ascii="ArialMT" w:hAnsi="ArialMT"/>
                        <w:color w:val="7F7F7F"/>
                        <w:spacing w:val="14"/>
                      </w:rPr>
                      <w:fldChar w:fldCharType="separate"/>
                    </w:r>
                    <w:r>
                      <w:rPr>
                        <w:rFonts w:ascii="ArialMT" w:hAnsi="ArialMT"/>
                        <w:noProof/>
                        <w:color w:val="7F7F7F"/>
                        <w:spacing w:val="14"/>
                      </w:rPr>
                      <w:t>2</w:t>
                    </w:r>
                    <w:r w:rsidRPr="00545928">
                      <w:rPr>
                        <w:rFonts w:ascii="ArialMT" w:hAnsi="ArialMT"/>
                        <w:color w:val="7F7F7F"/>
                        <w:spacing w:val="14"/>
                      </w:rPr>
                      <w:fldChar w:fldCharType="end"/>
                    </w:r>
                  </w:p>
                  <w:p w14:paraId="75CE8300" w14:textId="77777777" w:rsidR="001F2918" w:rsidRDefault="001F2918" w:rsidP="00076347">
                    <w:pPr>
                      <w:tabs>
                        <w:tab w:val="right" w:pos="15026"/>
                      </w:tabs>
                    </w:pP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31677" w14:textId="77777777" w:rsidR="00650ACC" w:rsidRDefault="00650ACC">
      <w:pPr>
        <w:spacing w:before="0" w:after="0" w:line="240" w:lineRule="auto"/>
      </w:pPr>
      <w:r>
        <w:separator/>
      </w:r>
    </w:p>
  </w:footnote>
  <w:footnote w:type="continuationSeparator" w:id="0">
    <w:p w14:paraId="0607761A" w14:textId="77777777" w:rsidR="00650ACC" w:rsidRDefault="00650AC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042B3" w14:textId="77777777" w:rsidR="001F2918" w:rsidRDefault="001F2918" w:rsidP="005B3A72">
    <w:pPr>
      <w:tabs>
        <w:tab w:val="left" w:pos="858"/>
        <w:tab w:val="left" w:pos="5744"/>
        <w:tab w:val="right" w:pos="9900"/>
      </w:tabs>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EE402" w14:textId="235D7FA4" w:rsidR="001F2918" w:rsidRPr="00805F10" w:rsidRDefault="001F2918" w:rsidP="00BB7EF7">
    <w:pPr>
      <w:framePr w:w="4530" w:h="2342" w:hSpace="181" w:wrap="around" w:vAnchor="text" w:hAnchor="page" w:x="6300" w:y="2343"/>
      <w:spacing w:line="260" w:lineRule="exact"/>
      <w:jc w:val="right"/>
      <w:rPr>
        <w:color w:val="0066FF"/>
        <w:sz w:val="20"/>
        <w:szCs w:val="20"/>
      </w:rPr>
    </w:pPr>
    <w:r>
      <w:rPr>
        <w:color w:val="0066FF"/>
        <w:sz w:val="20"/>
        <w:szCs w:val="20"/>
      </w:rPr>
      <w:t>Lee Geraghty</w:t>
    </w:r>
    <w:r w:rsidRPr="00805F10">
      <w:rPr>
        <w:color w:val="0066FF"/>
        <w:sz w:val="20"/>
        <w:szCs w:val="20"/>
      </w:rPr>
      <w:t xml:space="preserve"> </w:t>
    </w:r>
    <w:r w:rsidRPr="00805F10">
      <w:rPr>
        <w:color w:val="0066FF"/>
        <w:sz w:val="20"/>
        <w:szCs w:val="20"/>
      </w:rPr>
      <w:br/>
    </w:r>
    <w:r>
      <w:rPr>
        <w:color w:val="0066FF"/>
        <w:sz w:val="20"/>
        <w:szCs w:val="20"/>
      </w:rPr>
      <w:t>Deputy Director</w:t>
    </w:r>
  </w:p>
  <w:p w14:paraId="6C2E098D" w14:textId="3ACAC7A5" w:rsidR="001F2918" w:rsidRPr="00805F10" w:rsidRDefault="001F2918" w:rsidP="00BB7EF7">
    <w:pPr>
      <w:framePr w:w="4530" w:h="2342" w:hSpace="181" w:wrap="around" w:vAnchor="text" w:hAnchor="page" w:x="6300" w:y="2343"/>
      <w:spacing w:line="260" w:lineRule="exact"/>
      <w:jc w:val="right"/>
      <w:rPr>
        <w:color w:val="0066FF"/>
        <w:sz w:val="20"/>
        <w:szCs w:val="20"/>
      </w:rPr>
    </w:pPr>
    <w:r w:rsidRPr="00805F10">
      <w:rPr>
        <w:color w:val="00B0F0"/>
        <w:sz w:val="20"/>
        <w:szCs w:val="20"/>
      </w:rPr>
      <w:t>E.</w:t>
    </w:r>
    <w:r>
      <w:rPr>
        <w:color w:val="00B0F0"/>
        <w:sz w:val="20"/>
        <w:szCs w:val="20"/>
      </w:rPr>
      <w:t xml:space="preserve"> lee.geraghty@lgfutures.co.uk</w:t>
    </w:r>
    <w:r w:rsidRPr="00805F10">
      <w:rPr>
        <w:color w:val="0066FF"/>
        <w:sz w:val="20"/>
        <w:szCs w:val="20"/>
      </w:rPr>
      <w:br/>
    </w:r>
  </w:p>
  <w:p w14:paraId="3D31447C" w14:textId="77777777" w:rsidR="001F2918" w:rsidRPr="00CD4547" w:rsidRDefault="001F2918" w:rsidP="00A43604">
    <w:pPr>
      <w:framePr w:w="4530" w:h="2342" w:hSpace="181" w:wrap="around" w:vAnchor="text" w:hAnchor="page" w:x="6300" w:y="2343"/>
      <w:spacing w:before="0"/>
      <w:jc w:val="right"/>
      <w:rPr>
        <w:color w:val="0066FF"/>
        <w:sz w:val="18"/>
      </w:rPr>
    </w:pPr>
  </w:p>
  <w:p w14:paraId="261D1002" w14:textId="77777777" w:rsidR="001F2918" w:rsidRPr="00CD4547" w:rsidRDefault="001F2918" w:rsidP="005B3A72">
    <w:pPr>
      <w:pStyle w:val="Header"/>
      <w:rPr>
        <w:color w:val="0066FF"/>
      </w:rPr>
    </w:pPr>
    <w:r>
      <w:rPr>
        <w:noProof/>
        <w:color w:val="0066FF"/>
        <w:lang w:eastAsia="en-GB"/>
      </w:rPr>
      <w:drawing>
        <wp:anchor distT="0" distB="0" distL="114300" distR="114300" simplePos="0" relativeHeight="251660800" behindDoc="0" locked="0" layoutInCell="1" allowOverlap="0" wp14:anchorId="1630C59A" wp14:editId="68197438">
          <wp:simplePos x="0" y="0"/>
          <wp:positionH relativeFrom="column">
            <wp:posOffset>4308475</wp:posOffset>
          </wp:positionH>
          <wp:positionV relativeFrom="paragraph">
            <wp:posOffset>56515</wp:posOffset>
          </wp:positionV>
          <wp:extent cx="1978025" cy="630555"/>
          <wp:effectExtent l="0" t="0" r="3175" b="0"/>
          <wp:wrapNone/>
          <wp:docPr id="8" name="Picture 8" descr="lg-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g-logo-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025" cy="630555"/>
                  </a:xfrm>
                  <a:prstGeom prst="rect">
                    <a:avLst/>
                  </a:prstGeom>
                  <a:noFill/>
                  <a:ln>
                    <a:noFill/>
                  </a:ln>
                </pic:spPr>
              </pic:pic>
            </a:graphicData>
          </a:graphic>
        </wp:anchor>
      </w:drawing>
    </w:r>
    <w:r>
      <w:rPr>
        <w:noProof/>
        <w:color w:val="0066FF"/>
        <w:lang w:eastAsia="en-GB"/>
      </w:rPr>
      <w:drawing>
        <wp:anchor distT="0" distB="0" distL="114300" distR="114300" simplePos="0" relativeHeight="251659776" behindDoc="0" locked="0" layoutInCell="1" allowOverlap="1" wp14:anchorId="338C68ED" wp14:editId="2CA22B1C">
          <wp:simplePos x="0" y="0"/>
          <wp:positionH relativeFrom="page">
            <wp:posOffset>-1903730</wp:posOffset>
          </wp:positionH>
          <wp:positionV relativeFrom="page">
            <wp:posOffset>567055</wp:posOffset>
          </wp:positionV>
          <wp:extent cx="1905000" cy="1905000"/>
          <wp:effectExtent l="0" t="0" r="0" b="0"/>
          <wp:wrapNone/>
          <wp:docPr id="9" name="Picture 9" descr="lg-mid-blue-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g-mid-blue-b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r>
      <w:rPr>
        <w:noProof/>
        <w:color w:val="0066FF"/>
        <w:lang w:eastAsia="en-GB"/>
      </w:rPr>
      <w:drawing>
        <wp:anchor distT="0" distB="0" distL="114300" distR="114300" simplePos="0" relativeHeight="251656704" behindDoc="0" locked="0" layoutInCell="1" allowOverlap="1" wp14:anchorId="645C90EF" wp14:editId="4E3110C4">
          <wp:simplePos x="0" y="0"/>
          <wp:positionH relativeFrom="page">
            <wp:posOffset>-1903730</wp:posOffset>
          </wp:positionH>
          <wp:positionV relativeFrom="page">
            <wp:posOffset>633730</wp:posOffset>
          </wp:positionV>
          <wp:extent cx="1905000" cy="1905000"/>
          <wp:effectExtent l="0" t="0" r="0" b="0"/>
          <wp:wrapNone/>
          <wp:docPr id="10" name="Picture 60" descr="lg-mid-blue-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g-mid-blue-b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31E0A" w14:textId="7756BC7D" w:rsidR="001F2918" w:rsidRDefault="001F2918" w:rsidP="0058513B">
    <w:pPr>
      <w:tabs>
        <w:tab w:val="left" w:pos="858"/>
        <w:tab w:val="left" w:pos="5744"/>
        <w:tab w:val="right" w:pos="9900"/>
      </w:tabs>
    </w:pPr>
    <w:r>
      <w:rPr>
        <w:noProof/>
        <w:szCs w:val="20"/>
        <w:lang w:eastAsia="en-GB"/>
      </w:rPr>
      <mc:AlternateContent>
        <mc:Choice Requires="wps">
          <w:drawing>
            <wp:anchor distT="0" distB="0" distL="114300" distR="114300" simplePos="0" relativeHeight="251653632" behindDoc="0" locked="0" layoutInCell="1" allowOverlap="1" wp14:anchorId="00055CBE" wp14:editId="66DE4054">
              <wp:simplePos x="0" y="0"/>
              <wp:positionH relativeFrom="margin">
                <wp:align>left</wp:align>
              </wp:positionH>
              <wp:positionV relativeFrom="paragraph">
                <wp:posOffset>-276225</wp:posOffset>
              </wp:positionV>
              <wp:extent cx="4217035" cy="800100"/>
              <wp:effectExtent l="0" t="0" r="12065"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03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87B9D" w14:textId="490DA62F" w:rsidR="001F2918" w:rsidRPr="00D55717" w:rsidRDefault="001F2918" w:rsidP="00153DE0">
                          <w:pPr>
                            <w:pStyle w:val="Heading1"/>
                            <w:spacing w:before="240" w:after="120" w:line="240" w:lineRule="auto"/>
                            <w:rPr>
                              <w:rFonts w:eastAsia="Calibri"/>
                              <w:sz w:val="18"/>
                              <w:szCs w:val="18"/>
                            </w:rPr>
                          </w:pPr>
                          <w:r>
                            <w:rPr>
                              <w:rFonts w:eastAsia="Calibri"/>
                              <w:sz w:val="18"/>
                              <w:szCs w:val="18"/>
                            </w:rPr>
                            <w:t>100% Business Rates Retention Consultation – SDCT Draft Response</w:t>
                          </w:r>
                        </w:p>
                        <w:p w14:paraId="5FFAD893" w14:textId="77777777" w:rsidR="001F2918" w:rsidRPr="002C675C" w:rsidRDefault="001F2918" w:rsidP="002C675C">
                          <w:pPr>
                            <w:pStyle w:val="Header"/>
                            <w:rPr>
                              <w:color w:val="00AE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55CBE" id="_x0000_t202" coordsize="21600,21600" o:spt="202" path="m,l,21600r21600,l21600,xe">
              <v:stroke joinstyle="miter"/>
              <v:path gradientshapeok="t" o:connecttype="rect"/>
            </v:shapetype>
            <v:shape id="Text Box 16" o:spid="_x0000_s1026" type="#_x0000_t202" style="position:absolute;margin-left:0;margin-top:-21.75pt;width:332.05pt;height:63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ElsAIAAKo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" filled="f" stroked="f">
              <v:textbox inset="0,0,0,0">
                <w:txbxContent>
                  <w:p w14:paraId="05887B9D" w14:textId="490DA62F" w:rsidR="001F2918" w:rsidRPr="00D55717" w:rsidRDefault="001F2918" w:rsidP="00153DE0">
                    <w:pPr>
                      <w:pStyle w:val="Heading1"/>
                      <w:spacing w:before="240" w:after="120" w:line="240" w:lineRule="auto"/>
                      <w:rPr>
                        <w:rFonts w:eastAsia="Calibri"/>
                        <w:sz w:val="18"/>
                        <w:szCs w:val="18"/>
                      </w:rPr>
                    </w:pPr>
                    <w:r>
                      <w:rPr>
                        <w:rFonts w:eastAsia="Calibri"/>
                        <w:sz w:val="18"/>
                        <w:szCs w:val="18"/>
                      </w:rPr>
                      <w:t>100% Business Rates Retention Consultation – SDCT Draft Response</w:t>
                    </w:r>
                  </w:p>
                  <w:p w14:paraId="5FFAD893" w14:textId="77777777" w:rsidR="001F2918" w:rsidRPr="002C675C" w:rsidRDefault="001F2918" w:rsidP="002C675C">
                    <w:pPr>
                      <w:pStyle w:val="Header"/>
                      <w:rPr>
                        <w:color w:val="00AEFF"/>
                      </w:rPr>
                    </w:pPr>
                  </w:p>
                </w:txbxContent>
              </v:textbox>
              <w10:wrap anchorx="margin"/>
            </v:shape>
          </w:pict>
        </mc:Fallback>
      </mc:AlternateContent>
    </w:r>
    <w:r>
      <w:rPr>
        <w:noProof/>
        <w:lang w:eastAsia="en-GB"/>
      </w:rPr>
      <w:drawing>
        <wp:anchor distT="0" distB="0" distL="114300" distR="114300" simplePos="0" relativeHeight="251665408" behindDoc="0" locked="0" layoutInCell="1" allowOverlap="1" wp14:anchorId="68C38757" wp14:editId="302BF5CA">
          <wp:simplePos x="0" y="0"/>
          <wp:positionH relativeFrom="column">
            <wp:posOffset>4993640</wp:posOffset>
          </wp:positionH>
          <wp:positionV relativeFrom="paragraph">
            <wp:posOffset>-97155</wp:posOffset>
          </wp:positionV>
          <wp:extent cx="1295400" cy="410210"/>
          <wp:effectExtent l="0" t="0" r="0" b="8890"/>
          <wp:wrapNone/>
          <wp:docPr id="3" name="Picture 3" descr="lg-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lg-logo-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10210"/>
                  </a:xfrm>
                  <a:prstGeom prst="rect">
                    <a:avLst/>
                  </a:prstGeom>
                  <a:noFill/>
                  <a:ln>
                    <a:noFill/>
                  </a:ln>
                </pic:spPr>
              </pic:pic>
            </a:graphicData>
          </a:graphic>
        </wp:anchor>
      </w:drawing>
    </w: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694F5" w14:textId="77777777" w:rsidR="001F2918" w:rsidRDefault="001F2918" w:rsidP="00D77E0F">
    <w:pPr>
      <w:pStyle w:val="Header"/>
      <w:jc w:val="right"/>
    </w:pPr>
    <w:r>
      <w:rPr>
        <w:noProof/>
        <w:lang w:eastAsia="en-GB"/>
      </w:rPr>
      <w:drawing>
        <wp:anchor distT="0" distB="0" distL="114300" distR="114300" simplePos="0" relativeHeight="251656192" behindDoc="0" locked="0" layoutInCell="1" allowOverlap="1" wp14:anchorId="71733FBD" wp14:editId="6D612D78">
          <wp:simplePos x="0" y="0"/>
          <wp:positionH relativeFrom="page">
            <wp:align>right</wp:align>
          </wp:positionH>
          <wp:positionV relativeFrom="page">
            <wp:posOffset>363855</wp:posOffset>
          </wp:positionV>
          <wp:extent cx="760095" cy="760095"/>
          <wp:effectExtent l="0" t="0" r="1905" b="1905"/>
          <wp:wrapNone/>
          <wp:docPr id="4" name="Picture 3" descr="lg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g_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 cy="7600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6A29"/>
    <w:multiLevelType w:val="multilevel"/>
    <w:tmpl w:val="89E0E5C8"/>
    <w:lvl w:ilvl="0">
      <w:start w:val="1"/>
      <w:numFmt w:val="decimal"/>
      <w:pStyle w:val="Level1"/>
      <w:lvlText w:val="%1."/>
      <w:lvlJc w:val="left"/>
      <w:pPr>
        <w:tabs>
          <w:tab w:val="num" w:pos="1200"/>
        </w:tabs>
        <w:ind w:left="1200" w:hanging="1200"/>
      </w:pPr>
      <w:rPr>
        <w:rFonts w:hint="default"/>
        <w:b w:val="0"/>
        <w:i w:val="0"/>
        <w:caps w:val="0"/>
        <w:strike w:val="0"/>
        <w:dstrike w:val="0"/>
        <w:vanish w:val="0"/>
        <w:color w:val="0071BD"/>
        <w:sz w:val="30"/>
        <w:u w:val="none"/>
        <w:vertAlign w:val="baseline"/>
      </w:rPr>
    </w:lvl>
    <w:lvl w:ilvl="1">
      <w:start w:val="1"/>
      <w:numFmt w:val="decimal"/>
      <w:pStyle w:val="Level2"/>
      <w:lvlText w:val="%1.%2."/>
      <w:lvlJc w:val="left"/>
      <w:pPr>
        <w:tabs>
          <w:tab w:val="num" w:pos="1200"/>
        </w:tabs>
        <w:ind w:left="1200" w:hanging="120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200"/>
        </w:tabs>
        <w:ind w:left="1200" w:hanging="1200"/>
      </w:pPr>
      <w:rPr>
        <w:rFonts w:hint="default"/>
        <w:b w:val="0"/>
        <w:i w:val="0"/>
        <w:caps w:val="0"/>
        <w:strike w:val="0"/>
        <w:dstrike w:val="0"/>
        <w:vanish w:val="0"/>
        <w:color w:val="323232"/>
        <w:sz w:val="22"/>
        <w:u w:val="none"/>
        <w:vertAlign w:val="baseline"/>
      </w:rPr>
    </w:lvl>
    <w:lvl w:ilvl="3">
      <w:start w:val="1"/>
      <w:numFmt w:val="bullet"/>
      <w:lvlText w:val=""/>
      <w:lvlJc w:val="left"/>
      <w:pPr>
        <w:tabs>
          <w:tab w:val="num" w:pos="800"/>
        </w:tabs>
        <w:ind w:left="800" w:hanging="400"/>
      </w:pPr>
      <w:rPr>
        <w:rFonts w:ascii="Symbol" w:hAnsi="Symbol" w:hint="default"/>
        <w:color w:val="auto"/>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15:restartNumberingAfterBreak="0">
    <w:nsid w:val="06872BB6"/>
    <w:multiLevelType w:val="multilevel"/>
    <w:tmpl w:val="FBEC4230"/>
    <w:styleLink w:val="Style13"/>
    <w:lvl w:ilvl="0">
      <w:start w:val="1"/>
      <w:numFmt w:val="decimal"/>
      <w:lvlText w:val="6.%1"/>
      <w:lvlJc w:val="left"/>
      <w:pPr>
        <w:ind w:left="720" w:hanging="360"/>
      </w:pPr>
      <w:rPr>
        <w:rFonts w:hint="default"/>
        <w:b w:val="0"/>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4A3B26"/>
    <w:multiLevelType w:val="hybridMultilevel"/>
    <w:tmpl w:val="6FF0D416"/>
    <w:lvl w:ilvl="0" w:tplc="F5E2710E">
      <w:start w:val="1"/>
      <w:numFmt w:val="bullet"/>
      <w:pStyle w:val="Style3"/>
      <w:lvlText w:val=""/>
      <w:lvlJc w:val="left"/>
      <w:pPr>
        <w:ind w:left="1562" w:hanging="360"/>
      </w:pPr>
      <w:rPr>
        <w:rFonts w:ascii="Symbol" w:hAnsi="Symbol" w:hint="default"/>
        <w:color w:val="00B0F0"/>
      </w:rPr>
    </w:lvl>
    <w:lvl w:ilvl="1" w:tplc="88E43AD6">
      <w:start w:val="1"/>
      <w:numFmt w:val="bullet"/>
      <w:lvlText w:val=""/>
      <w:lvlJc w:val="left"/>
      <w:pPr>
        <w:ind w:left="2282" w:hanging="360"/>
      </w:pPr>
      <w:rPr>
        <w:rFonts w:ascii="Symbol" w:hAnsi="Symbol" w:hint="default"/>
        <w:color w:val="00B0F0"/>
      </w:rPr>
    </w:lvl>
    <w:lvl w:ilvl="2" w:tplc="08090005">
      <w:start w:val="1"/>
      <w:numFmt w:val="bullet"/>
      <w:lvlText w:val=""/>
      <w:lvlJc w:val="left"/>
      <w:pPr>
        <w:ind w:left="3002" w:hanging="360"/>
      </w:pPr>
      <w:rPr>
        <w:rFonts w:ascii="Wingdings" w:hAnsi="Wingdings" w:hint="default"/>
      </w:rPr>
    </w:lvl>
    <w:lvl w:ilvl="3" w:tplc="08090001">
      <w:start w:val="1"/>
      <w:numFmt w:val="bullet"/>
      <w:lvlText w:val=""/>
      <w:lvlJc w:val="left"/>
      <w:pPr>
        <w:ind w:left="3722" w:hanging="360"/>
      </w:pPr>
      <w:rPr>
        <w:rFonts w:ascii="Symbol" w:hAnsi="Symbol" w:hint="default"/>
      </w:rPr>
    </w:lvl>
    <w:lvl w:ilvl="4" w:tplc="08090003" w:tentative="1">
      <w:start w:val="1"/>
      <w:numFmt w:val="bullet"/>
      <w:lvlText w:val="o"/>
      <w:lvlJc w:val="left"/>
      <w:pPr>
        <w:ind w:left="4442" w:hanging="360"/>
      </w:pPr>
      <w:rPr>
        <w:rFonts w:ascii="Courier New" w:hAnsi="Courier New" w:cs="Courier New" w:hint="default"/>
      </w:rPr>
    </w:lvl>
    <w:lvl w:ilvl="5" w:tplc="08090005" w:tentative="1">
      <w:start w:val="1"/>
      <w:numFmt w:val="bullet"/>
      <w:lvlText w:val=""/>
      <w:lvlJc w:val="left"/>
      <w:pPr>
        <w:ind w:left="5162" w:hanging="360"/>
      </w:pPr>
      <w:rPr>
        <w:rFonts w:ascii="Wingdings" w:hAnsi="Wingdings" w:hint="default"/>
      </w:rPr>
    </w:lvl>
    <w:lvl w:ilvl="6" w:tplc="08090001" w:tentative="1">
      <w:start w:val="1"/>
      <w:numFmt w:val="bullet"/>
      <w:lvlText w:val=""/>
      <w:lvlJc w:val="left"/>
      <w:pPr>
        <w:ind w:left="5882" w:hanging="360"/>
      </w:pPr>
      <w:rPr>
        <w:rFonts w:ascii="Symbol" w:hAnsi="Symbol" w:hint="default"/>
      </w:rPr>
    </w:lvl>
    <w:lvl w:ilvl="7" w:tplc="08090003" w:tentative="1">
      <w:start w:val="1"/>
      <w:numFmt w:val="bullet"/>
      <w:lvlText w:val="o"/>
      <w:lvlJc w:val="left"/>
      <w:pPr>
        <w:ind w:left="6602" w:hanging="360"/>
      </w:pPr>
      <w:rPr>
        <w:rFonts w:ascii="Courier New" w:hAnsi="Courier New" w:cs="Courier New" w:hint="default"/>
      </w:rPr>
    </w:lvl>
    <w:lvl w:ilvl="8" w:tplc="08090005" w:tentative="1">
      <w:start w:val="1"/>
      <w:numFmt w:val="bullet"/>
      <w:lvlText w:val=""/>
      <w:lvlJc w:val="left"/>
      <w:pPr>
        <w:ind w:left="7322" w:hanging="360"/>
      </w:pPr>
      <w:rPr>
        <w:rFonts w:ascii="Wingdings" w:hAnsi="Wingdings" w:hint="default"/>
      </w:rPr>
    </w:lvl>
  </w:abstractNum>
  <w:abstractNum w:abstractNumId="3" w15:restartNumberingAfterBreak="0">
    <w:nsid w:val="16810A22"/>
    <w:multiLevelType w:val="multilevel"/>
    <w:tmpl w:val="169E1D1C"/>
    <w:lvl w:ilvl="0">
      <w:start w:val="1"/>
      <w:numFmt w:val="decimal"/>
      <w:lvlText w:val="%1."/>
      <w:lvlJc w:val="left"/>
      <w:pPr>
        <w:tabs>
          <w:tab w:val="num" w:pos="1200"/>
        </w:tabs>
        <w:ind w:left="1200" w:hanging="1200"/>
      </w:pPr>
      <w:rPr>
        <w:rFonts w:hint="default"/>
        <w:b w:val="0"/>
        <w:i w:val="0"/>
        <w:caps w:val="0"/>
        <w:strike w:val="0"/>
        <w:dstrike w:val="0"/>
        <w:vanish w:val="0"/>
        <w:color w:val="0071BD"/>
        <w:sz w:val="30"/>
        <w:u w:val="none"/>
        <w:vertAlign w:val="baseline"/>
      </w:rPr>
    </w:lvl>
    <w:lvl w:ilvl="1">
      <w:start w:val="1"/>
      <w:numFmt w:val="bullet"/>
      <w:pStyle w:val="Style2"/>
      <w:lvlText w:val="●"/>
      <w:lvlJc w:val="left"/>
      <w:pPr>
        <w:tabs>
          <w:tab w:val="num" w:pos="1200"/>
        </w:tabs>
        <w:ind w:left="1200" w:hanging="1200"/>
      </w:pPr>
      <w:rPr>
        <w:rFonts w:ascii="Arial" w:hAnsi="Arial" w:hint="default"/>
        <w:b w:val="0"/>
        <w:bCs w:val="0"/>
        <w:i w:val="0"/>
        <w:iCs w:val="0"/>
        <w:caps w:val="0"/>
        <w:smallCaps w:val="0"/>
        <w:strike w:val="0"/>
        <w:dstrike w:val="0"/>
        <w:noProof w:val="0"/>
        <w:vanish w:val="0"/>
        <w:color w:val="00B0F0"/>
        <w:spacing w:val="0"/>
        <w:kern w:val="0"/>
        <w:position w:val="0"/>
        <w:u w:val="none"/>
        <w:effect w:val="none"/>
        <w:vertAlign w:val="baseline"/>
        <w:em w:val="none"/>
        <w:specVanish w:val="0"/>
      </w:rPr>
    </w:lvl>
    <w:lvl w:ilvl="2">
      <w:start w:val="1"/>
      <w:numFmt w:val="decimal"/>
      <w:lvlText w:val="%1.%2.%3."/>
      <w:lvlJc w:val="left"/>
      <w:pPr>
        <w:tabs>
          <w:tab w:val="num" w:pos="1200"/>
        </w:tabs>
        <w:ind w:left="1200" w:hanging="1200"/>
      </w:pPr>
      <w:rPr>
        <w:rFonts w:hint="default"/>
        <w:b w:val="0"/>
        <w:i w:val="0"/>
        <w:caps w:val="0"/>
        <w:strike w:val="0"/>
        <w:dstrike w:val="0"/>
        <w:vanish w:val="0"/>
        <w:color w:val="323232"/>
        <w:sz w:val="22"/>
        <w:u w:val="none"/>
        <w:vertAlign w:val="baseline"/>
      </w:rPr>
    </w:lvl>
    <w:lvl w:ilvl="3">
      <w:start w:val="1"/>
      <w:numFmt w:val="bullet"/>
      <w:lvlText w:val=""/>
      <w:lvlJc w:val="left"/>
      <w:pPr>
        <w:tabs>
          <w:tab w:val="num" w:pos="800"/>
        </w:tabs>
        <w:ind w:left="800" w:hanging="400"/>
      </w:pPr>
      <w:rPr>
        <w:rFonts w:ascii="Symbol" w:hAnsi="Symbol" w:hint="default"/>
        <w:color w:val="auto"/>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 w15:restartNumberingAfterBreak="0">
    <w:nsid w:val="19CF41A5"/>
    <w:multiLevelType w:val="hybridMultilevel"/>
    <w:tmpl w:val="ED2EBE88"/>
    <w:lvl w:ilvl="0" w:tplc="EE5620DA">
      <w:start w:val="1"/>
      <w:numFmt w:val="decimal"/>
      <w:pStyle w:val="Style14"/>
      <w:lvlText w:val="4.%1"/>
      <w:lvlJc w:val="left"/>
      <w:pPr>
        <w:ind w:left="567"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F57BC3"/>
    <w:multiLevelType w:val="multilevel"/>
    <w:tmpl w:val="98B6ED06"/>
    <w:styleLink w:val="Style10"/>
    <w:lvl w:ilvl="0">
      <w:start w:val="1"/>
      <w:numFmt w:val="decimal"/>
      <w:pStyle w:val="Style11"/>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7C44D0B"/>
    <w:multiLevelType w:val="hybridMultilevel"/>
    <w:tmpl w:val="09C4DE76"/>
    <w:lvl w:ilvl="0" w:tplc="F228701C">
      <w:start w:val="1"/>
      <w:numFmt w:val="upperRoman"/>
      <w:pStyle w:val="Exec"/>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A0506C"/>
    <w:multiLevelType w:val="multilevel"/>
    <w:tmpl w:val="63D68336"/>
    <w:styleLink w:val="NumberedList"/>
    <w:lvl w:ilvl="0">
      <w:start w:val="1"/>
      <w:numFmt w:val="decimal"/>
      <w:lvlText w:val="%1."/>
      <w:lvlJc w:val="left"/>
      <w:pPr>
        <w:tabs>
          <w:tab w:val="num" w:pos="1200"/>
        </w:tabs>
        <w:ind w:left="1200" w:hanging="1200"/>
      </w:pPr>
      <w:rPr>
        <w:rFonts w:hint="default"/>
        <w:b w:val="0"/>
        <w:i w:val="0"/>
        <w:caps w:val="0"/>
        <w:strike w:val="0"/>
        <w:dstrike w:val="0"/>
        <w:vanish w:val="0"/>
        <w:color w:val="003F8F"/>
        <w:sz w:val="40"/>
        <w:u w:val="none"/>
        <w:vertAlign w:val="baseline"/>
      </w:rPr>
    </w:lvl>
    <w:lvl w:ilvl="1">
      <w:start w:val="1"/>
      <w:numFmt w:val="decimal"/>
      <w:lvlText w:val="%1.%2."/>
      <w:lvlJc w:val="left"/>
      <w:pPr>
        <w:tabs>
          <w:tab w:val="num" w:pos="1200"/>
        </w:tabs>
        <w:ind w:left="1200" w:hanging="1200"/>
      </w:pPr>
      <w:rPr>
        <w:rFonts w:ascii="Arial" w:hAnsi="Arial" w:hint="default"/>
        <w:b/>
        <w:i w:val="0"/>
        <w:caps w:val="0"/>
        <w:strike w:val="0"/>
        <w:dstrike w:val="0"/>
        <w:vanish w:val="0"/>
        <w:color w:val="0071BD"/>
        <w:sz w:val="30"/>
        <w:u w:val="none"/>
        <w:vertAlign w:val="baseline"/>
      </w:rPr>
    </w:lvl>
    <w:lvl w:ilvl="2">
      <w:start w:val="1"/>
      <w:numFmt w:val="decimal"/>
      <w:lvlText w:val="%1.%2.%3."/>
      <w:lvlJc w:val="left"/>
      <w:pPr>
        <w:tabs>
          <w:tab w:val="num" w:pos="1200"/>
        </w:tabs>
        <w:ind w:left="1200" w:hanging="1200"/>
      </w:pPr>
      <w:rPr>
        <w:rFonts w:hint="default"/>
        <w:b w:val="0"/>
        <w:i w:val="0"/>
        <w:caps w:val="0"/>
        <w:strike w:val="0"/>
        <w:dstrike w:val="0"/>
        <w:vanish w:val="0"/>
        <w:color w:val="323232"/>
        <w:sz w:val="22"/>
        <w:u w:val="none"/>
        <w:vertAlign w:val="baseline"/>
      </w:rPr>
    </w:lvl>
    <w:lvl w:ilvl="3">
      <w:start w:val="1"/>
      <w:numFmt w:val="bullet"/>
      <w:lvlText w:val=""/>
      <w:lvlJc w:val="left"/>
      <w:pPr>
        <w:tabs>
          <w:tab w:val="num" w:pos="800"/>
        </w:tabs>
        <w:ind w:left="800" w:hanging="400"/>
      </w:pPr>
      <w:rPr>
        <w:rFonts w:ascii="Symbol" w:hAnsi="Symbol" w:hint="default"/>
        <w:color w:val="auto"/>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8" w15:restartNumberingAfterBreak="0">
    <w:nsid w:val="37F916DB"/>
    <w:multiLevelType w:val="hybridMultilevel"/>
    <w:tmpl w:val="174042A2"/>
    <w:lvl w:ilvl="0" w:tplc="B2DC3E28">
      <w:start w:val="1"/>
      <w:numFmt w:val="lowerRoman"/>
      <w:lvlText w:val="(%1)"/>
      <w:lvlJc w:val="left"/>
      <w:pPr>
        <w:ind w:left="1080" w:hanging="720"/>
      </w:pPr>
      <w:rPr>
        <w:rFonts w:cs="Times New Roman" w:hint="default"/>
        <w:color w:val="3232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01048"/>
    <w:multiLevelType w:val="hybridMultilevel"/>
    <w:tmpl w:val="D88029A8"/>
    <w:lvl w:ilvl="0" w:tplc="67AA7142">
      <w:start w:val="1"/>
      <w:numFmt w:val="decimal"/>
      <w:pStyle w:val="Style9"/>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E02A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981621"/>
    <w:multiLevelType w:val="multilevel"/>
    <w:tmpl w:val="A9F0CE86"/>
    <w:lvl w:ilvl="0">
      <w:start w:val="1"/>
      <w:numFmt w:val="decimal"/>
      <w:lvlText w:val="%1."/>
      <w:lvlJc w:val="left"/>
      <w:pPr>
        <w:tabs>
          <w:tab w:val="num" w:pos="1200"/>
        </w:tabs>
        <w:ind w:left="1200" w:hanging="1200"/>
      </w:pPr>
      <w:rPr>
        <w:rFonts w:hint="default"/>
        <w:b w:val="0"/>
        <w:i w:val="0"/>
        <w:caps w:val="0"/>
        <w:strike w:val="0"/>
        <w:dstrike w:val="0"/>
        <w:vanish w:val="0"/>
        <w:color w:val="0071BD"/>
        <w:sz w:val="30"/>
        <w:u w:val="none"/>
        <w:vertAlign w:val="baseline"/>
      </w:rPr>
    </w:lvl>
    <w:lvl w:ilvl="1">
      <w:start w:val="1"/>
      <w:numFmt w:val="decimal"/>
      <w:pStyle w:val="aabody"/>
      <w:lvlText w:val="%1.%2."/>
      <w:lvlJc w:val="left"/>
      <w:pPr>
        <w:tabs>
          <w:tab w:val="num" w:pos="1200"/>
        </w:tabs>
        <w:ind w:left="1200" w:hanging="1200"/>
      </w:pPr>
      <w:rPr>
        <w:rFonts w:hint="default"/>
        <w:b/>
        <w:i w:val="0"/>
        <w:caps w:val="0"/>
        <w:strike w:val="0"/>
        <w:dstrike w:val="0"/>
        <w:vanish w:val="0"/>
        <w:color w:val="00A8EC"/>
        <w:sz w:val="22"/>
        <w:u w:val="none"/>
        <w:vertAlign w:val="baseline"/>
      </w:rPr>
    </w:lvl>
    <w:lvl w:ilvl="2">
      <w:start w:val="1"/>
      <w:numFmt w:val="decimal"/>
      <w:lvlText w:val="%1.%2.%3."/>
      <w:lvlJc w:val="left"/>
      <w:pPr>
        <w:tabs>
          <w:tab w:val="num" w:pos="1200"/>
        </w:tabs>
        <w:ind w:left="1200" w:hanging="1200"/>
      </w:pPr>
      <w:rPr>
        <w:rFonts w:hint="default"/>
        <w:b w:val="0"/>
        <w:i w:val="0"/>
        <w:caps w:val="0"/>
        <w:strike w:val="0"/>
        <w:dstrike w:val="0"/>
        <w:vanish w:val="0"/>
        <w:color w:val="323232"/>
        <w:sz w:val="22"/>
        <w:u w:val="none"/>
        <w:vertAlign w:val="baseline"/>
      </w:rPr>
    </w:lvl>
    <w:lvl w:ilvl="3">
      <w:start w:val="1"/>
      <w:numFmt w:val="bullet"/>
      <w:lvlText w:val=""/>
      <w:lvlJc w:val="left"/>
      <w:pPr>
        <w:tabs>
          <w:tab w:val="num" w:pos="800"/>
        </w:tabs>
        <w:ind w:left="800" w:hanging="400"/>
      </w:pPr>
      <w:rPr>
        <w:rFonts w:ascii="Symbol" w:hAnsi="Symbol" w:hint="default"/>
        <w:color w:val="auto"/>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2" w15:restartNumberingAfterBreak="0">
    <w:nsid w:val="6214558C"/>
    <w:multiLevelType w:val="multilevel"/>
    <w:tmpl w:val="98B6ED06"/>
    <w:numStyleLink w:val="Style10"/>
  </w:abstractNum>
  <w:abstractNum w:abstractNumId="13" w15:restartNumberingAfterBreak="0">
    <w:nsid w:val="692201BA"/>
    <w:multiLevelType w:val="hybridMultilevel"/>
    <w:tmpl w:val="BE846AD6"/>
    <w:lvl w:ilvl="0" w:tplc="A490C9C2">
      <w:start w:val="1"/>
      <w:numFmt w:val="bullet"/>
      <w:pStyle w:val="Level3"/>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A37247"/>
    <w:multiLevelType w:val="hybridMultilevel"/>
    <w:tmpl w:val="AC828FD8"/>
    <w:lvl w:ilvl="0" w:tplc="EB0817BE">
      <w:start w:val="1"/>
      <w:numFmt w:val="decimal"/>
      <w:pStyle w:val="Style8"/>
      <w:lvlText w:val="2.%1"/>
      <w:lvlJc w:val="left"/>
      <w:pPr>
        <w:ind w:left="720" w:hanging="360"/>
      </w:pPr>
      <w:rPr>
        <w:rFonts w:hint="default"/>
        <w:b w:val="0"/>
        <w:i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6B5C46"/>
    <w:multiLevelType w:val="multilevel"/>
    <w:tmpl w:val="EB24810A"/>
    <w:lvl w:ilvl="0">
      <w:start w:val="1"/>
      <w:numFmt w:val="decimal"/>
      <w:pStyle w:val="Heading4"/>
      <w:lvlText w:val="%1"/>
      <w:lvlJc w:val="left"/>
      <w:pPr>
        <w:tabs>
          <w:tab w:val="num" w:pos="432"/>
        </w:tabs>
        <w:ind w:left="432" w:hanging="432"/>
      </w:pPr>
      <w:rPr>
        <w:rFonts w:hint="default"/>
        <w:dstrike w:val="0"/>
        <w:color w:val="0071BD"/>
        <w:sz w:val="30"/>
        <w:u w:val="none"/>
        <w:vertAlign w:val="baseline"/>
      </w:rPr>
    </w:lvl>
    <w:lvl w:ilvl="1">
      <w:start w:val="1"/>
      <w:numFmt w:val="decimal"/>
      <w:pStyle w:val="Heading5"/>
      <w:lvlText w:val="%1.%2"/>
      <w:lvlJc w:val="left"/>
      <w:pPr>
        <w:tabs>
          <w:tab w:val="num" w:pos="576"/>
        </w:tabs>
        <w:ind w:left="576" w:hanging="576"/>
      </w:pPr>
      <w:rPr>
        <w:rFonts w:hint="default"/>
        <w:b/>
        <w:i w:val="0"/>
        <w:caps w:val="0"/>
        <w:strike w:val="0"/>
        <w:dstrike w:val="0"/>
        <w:vanish w:val="0"/>
        <w:color w:val="00A8EC"/>
        <w:sz w:val="22"/>
        <w:u w:val="none"/>
        <w:vertAlign w:val="baseline"/>
      </w:rPr>
    </w:lvl>
    <w:lvl w:ilvl="2">
      <w:start w:val="1"/>
      <w:numFmt w:val="decimal"/>
      <w:lvlText w:val="%1.%2.%3"/>
      <w:lvlJc w:val="left"/>
      <w:pPr>
        <w:tabs>
          <w:tab w:val="num" w:pos="720"/>
        </w:tabs>
        <w:ind w:left="720" w:hanging="720"/>
      </w:pPr>
      <w:rPr>
        <w:rFonts w:hint="default"/>
        <w:b w:val="0"/>
        <w:i w:val="0"/>
        <w:caps w:val="0"/>
        <w:strike w:val="0"/>
        <w:dstrike w:val="0"/>
        <w:vanish w:val="0"/>
        <w:color w:val="323232"/>
        <w:sz w:val="22"/>
        <w:u w:val="none"/>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AC014DE"/>
    <w:multiLevelType w:val="multilevel"/>
    <w:tmpl w:val="87962278"/>
    <w:styleLink w:val="BulletedList"/>
    <w:lvl w:ilvl="0">
      <w:start w:val="1"/>
      <w:numFmt w:val="bullet"/>
      <w:lvlText w:val=""/>
      <w:lvlJc w:val="left"/>
      <w:pPr>
        <w:tabs>
          <w:tab w:val="num" w:pos="1200"/>
        </w:tabs>
        <w:ind w:left="600" w:hanging="600"/>
      </w:pPr>
      <w:rPr>
        <w:rFonts w:ascii="Wingdings" w:hAnsi="Wingdings" w:hint="default"/>
        <w:dstrike w:val="0"/>
        <w:color w:val="00A8EC"/>
        <w:vertAlign w:val="baseline"/>
      </w:rPr>
    </w:lvl>
    <w:lvl w:ilvl="1">
      <w:start w:val="1"/>
      <w:numFmt w:val="bullet"/>
      <w:lvlText w:val="o"/>
      <w:lvlJc w:val="left"/>
      <w:pPr>
        <w:tabs>
          <w:tab w:val="num" w:pos="240"/>
        </w:tabs>
        <w:ind w:left="240" w:hanging="360"/>
      </w:pPr>
      <w:rPr>
        <w:rFonts w:ascii="Courier New" w:hAnsi="Courier New" w:hint="default"/>
      </w:rPr>
    </w:lvl>
    <w:lvl w:ilvl="2">
      <w:start w:val="1"/>
      <w:numFmt w:val="bullet"/>
      <w:lvlText w:val=""/>
      <w:lvlJc w:val="left"/>
      <w:pPr>
        <w:tabs>
          <w:tab w:val="num" w:pos="960"/>
        </w:tabs>
        <w:ind w:left="960" w:hanging="360"/>
      </w:pPr>
      <w:rPr>
        <w:rFonts w:ascii="Wingdings" w:hAnsi="Wingdings" w:hint="default"/>
      </w:rPr>
    </w:lvl>
    <w:lvl w:ilvl="3">
      <w:start w:val="1"/>
      <w:numFmt w:val="bullet"/>
      <w:lvlText w:val=""/>
      <w:lvlJc w:val="left"/>
      <w:pPr>
        <w:tabs>
          <w:tab w:val="num" w:pos="1680"/>
        </w:tabs>
        <w:ind w:left="1680" w:hanging="360"/>
      </w:pPr>
      <w:rPr>
        <w:rFonts w:ascii="Symbol" w:hAnsi="Symbol" w:hint="default"/>
      </w:rPr>
    </w:lvl>
    <w:lvl w:ilvl="4">
      <w:start w:val="1"/>
      <w:numFmt w:val="bullet"/>
      <w:lvlText w:val="o"/>
      <w:lvlJc w:val="left"/>
      <w:pPr>
        <w:tabs>
          <w:tab w:val="num" w:pos="2400"/>
        </w:tabs>
        <w:ind w:left="2400" w:hanging="360"/>
      </w:pPr>
      <w:rPr>
        <w:rFonts w:ascii="Courier New" w:hAnsi="Courier New" w:hint="default"/>
      </w:rPr>
    </w:lvl>
    <w:lvl w:ilvl="5">
      <w:start w:val="1"/>
      <w:numFmt w:val="bullet"/>
      <w:lvlText w:val=""/>
      <w:lvlJc w:val="left"/>
      <w:pPr>
        <w:tabs>
          <w:tab w:val="num" w:pos="3120"/>
        </w:tabs>
        <w:ind w:left="3120" w:hanging="360"/>
      </w:pPr>
      <w:rPr>
        <w:rFonts w:ascii="Wingdings" w:hAnsi="Wingdings" w:hint="default"/>
      </w:rPr>
    </w:lvl>
    <w:lvl w:ilvl="6">
      <w:start w:val="1"/>
      <w:numFmt w:val="bullet"/>
      <w:lvlText w:val=""/>
      <w:lvlJc w:val="left"/>
      <w:pPr>
        <w:tabs>
          <w:tab w:val="num" w:pos="3840"/>
        </w:tabs>
        <w:ind w:left="3840" w:hanging="360"/>
      </w:pPr>
      <w:rPr>
        <w:rFonts w:ascii="Symbol" w:hAnsi="Symbol" w:hint="default"/>
      </w:rPr>
    </w:lvl>
    <w:lvl w:ilvl="7">
      <w:start w:val="1"/>
      <w:numFmt w:val="bullet"/>
      <w:lvlText w:val="o"/>
      <w:lvlJc w:val="left"/>
      <w:pPr>
        <w:tabs>
          <w:tab w:val="num" w:pos="4560"/>
        </w:tabs>
        <w:ind w:left="4560" w:hanging="360"/>
      </w:pPr>
      <w:rPr>
        <w:rFonts w:ascii="Courier New" w:hAnsi="Courier New" w:hint="default"/>
      </w:rPr>
    </w:lvl>
    <w:lvl w:ilvl="8">
      <w:start w:val="1"/>
      <w:numFmt w:val="bullet"/>
      <w:lvlText w:val=""/>
      <w:lvlJc w:val="left"/>
      <w:pPr>
        <w:tabs>
          <w:tab w:val="num" w:pos="5280"/>
        </w:tabs>
        <w:ind w:left="5280" w:hanging="360"/>
      </w:pPr>
      <w:rPr>
        <w:rFonts w:ascii="Wingdings" w:hAnsi="Wingdings" w:hint="default"/>
      </w:rPr>
    </w:lvl>
  </w:abstractNum>
  <w:abstractNum w:abstractNumId="17" w15:restartNumberingAfterBreak="0">
    <w:nsid w:val="6D8E3072"/>
    <w:multiLevelType w:val="hybridMultilevel"/>
    <w:tmpl w:val="42F4E5BC"/>
    <w:lvl w:ilvl="0" w:tplc="25DE2636">
      <w:start w:val="1"/>
      <w:numFmt w:val="lowerLetter"/>
      <w:lvlText w:val="%1)"/>
      <w:lvlJc w:val="left"/>
      <w:pPr>
        <w:ind w:left="1560" w:hanging="36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8" w15:restartNumberingAfterBreak="0">
    <w:nsid w:val="6E0F7780"/>
    <w:multiLevelType w:val="hybridMultilevel"/>
    <w:tmpl w:val="BB925B2A"/>
    <w:lvl w:ilvl="0" w:tplc="2B5243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94674C"/>
    <w:multiLevelType w:val="hybridMultilevel"/>
    <w:tmpl w:val="9E70C7FE"/>
    <w:lvl w:ilvl="0" w:tplc="9AE0F4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16"/>
  </w:num>
  <w:num w:numId="4">
    <w:abstractNumId w:val="11"/>
  </w:num>
  <w:num w:numId="5">
    <w:abstractNumId w:val="0"/>
  </w:num>
  <w:num w:numId="6">
    <w:abstractNumId w:val="13"/>
  </w:num>
  <w:num w:numId="7">
    <w:abstractNumId w:val="2"/>
  </w:num>
  <w:num w:numId="8">
    <w:abstractNumId w:val="3"/>
  </w:num>
  <w:num w:numId="9">
    <w:abstractNumId w:val="9"/>
  </w:num>
  <w:num w:numId="10">
    <w:abstractNumId w:val="4"/>
  </w:num>
  <w:num w:numId="11">
    <w:abstractNumId w:val="14"/>
  </w:num>
  <w:num w:numId="12">
    <w:abstractNumId w:val="5"/>
  </w:num>
  <w:num w:numId="13">
    <w:abstractNumId w:val="12"/>
  </w:num>
  <w:num w:numId="14">
    <w:abstractNumId w:val="1"/>
  </w:num>
  <w:num w:numId="15">
    <w:abstractNumId w:val="1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7"/>
  </w:num>
  <w:num w:numId="19">
    <w:abstractNumId w:val="8"/>
  </w:num>
  <w:num w:numId="20">
    <w:abstractNumId w:val="19"/>
  </w:num>
  <w:num w:numId="2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964"/>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F5"/>
    <w:rsid w:val="00000489"/>
    <w:rsid w:val="00000E55"/>
    <w:rsid w:val="000016DD"/>
    <w:rsid w:val="000022ED"/>
    <w:rsid w:val="000028DB"/>
    <w:rsid w:val="00002FA9"/>
    <w:rsid w:val="00003D95"/>
    <w:rsid w:val="00004B64"/>
    <w:rsid w:val="00004D00"/>
    <w:rsid w:val="00005D99"/>
    <w:rsid w:val="000071B0"/>
    <w:rsid w:val="000075A4"/>
    <w:rsid w:val="000160FD"/>
    <w:rsid w:val="000174EF"/>
    <w:rsid w:val="00017C81"/>
    <w:rsid w:val="00020A0F"/>
    <w:rsid w:val="00020AC6"/>
    <w:rsid w:val="00023475"/>
    <w:rsid w:val="0002360F"/>
    <w:rsid w:val="00023AA0"/>
    <w:rsid w:val="00023F88"/>
    <w:rsid w:val="00024E15"/>
    <w:rsid w:val="000255AB"/>
    <w:rsid w:val="00025678"/>
    <w:rsid w:val="00025D33"/>
    <w:rsid w:val="00025E21"/>
    <w:rsid w:val="00026A01"/>
    <w:rsid w:val="0002785B"/>
    <w:rsid w:val="00027915"/>
    <w:rsid w:val="00027B32"/>
    <w:rsid w:val="00030CFF"/>
    <w:rsid w:val="000310AE"/>
    <w:rsid w:val="00031CB4"/>
    <w:rsid w:val="000327AA"/>
    <w:rsid w:val="00035016"/>
    <w:rsid w:val="0003565E"/>
    <w:rsid w:val="00036568"/>
    <w:rsid w:val="00040D1E"/>
    <w:rsid w:val="000414E9"/>
    <w:rsid w:val="000415C3"/>
    <w:rsid w:val="000422C4"/>
    <w:rsid w:val="00042AE4"/>
    <w:rsid w:val="00042F62"/>
    <w:rsid w:val="0004361C"/>
    <w:rsid w:val="00046325"/>
    <w:rsid w:val="000479FD"/>
    <w:rsid w:val="00047AB7"/>
    <w:rsid w:val="00047B2F"/>
    <w:rsid w:val="0005164F"/>
    <w:rsid w:val="00053FB4"/>
    <w:rsid w:val="0005548E"/>
    <w:rsid w:val="00060533"/>
    <w:rsid w:val="00062012"/>
    <w:rsid w:val="000625E4"/>
    <w:rsid w:val="000631CE"/>
    <w:rsid w:val="00063232"/>
    <w:rsid w:val="00063FF9"/>
    <w:rsid w:val="000644B0"/>
    <w:rsid w:val="00066FB8"/>
    <w:rsid w:val="0007047E"/>
    <w:rsid w:val="0007063A"/>
    <w:rsid w:val="00071BEF"/>
    <w:rsid w:val="00072E9E"/>
    <w:rsid w:val="000762AD"/>
    <w:rsid w:val="000762DF"/>
    <w:rsid w:val="00076347"/>
    <w:rsid w:val="000763E0"/>
    <w:rsid w:val="00076F66"/>
    <w:rsid w:val="0008054D"/>
    <w:rsid w:val="00081637"/>
    <w:rsid w:val="000830C3"/>
    <w:rsid w:val="0008338C"/>
    <w:rsid w:val="00085491"/>
    <w:rsid w:val="00085683"/>
    <w:rsid w:val="000858CE"/>
    <w:rsid w:val="00085BC4"/>
    <w:rsid w:val="00086FCF"/>
    <w:rsid w:val="00087C8A"/>
    <w:rsid w:val="00090633"/>
    <w:rsid w:val="00090FE2"/>
    <w:rsid w:val="000911E0"/>
    <w:rsid w:val="000913E6"/>
    <w:rsid w:val="000918E3"/>
    <w:rsid w:val="00094D0B"/>
    <w:rsid w:val="00094EB7"/>
    <w:rsid w:val="000957E8"/>
    <w:rsid w:val="00095F21"/>
    <w:rsid w:val="00096ADF"/>
    <w:rsid w:val="00096DDE"/>
    <w:rsid w:val="00097DF6"/>
    <w:rsid w:val="000A0755"/>
    <w:rsid w:val="000A2A60"/>
    <w:rsid w:val="000A2AA1"/>
    <w:rsid w:val="000A2DCD"/>
    <w:rsid w:val="000A30ED"/>
    <w:rsid w:val="000A351E"/>
    <w:rsid w:val="000A3672"/>
    <w:rsid w:val="000A5B28"/>
    <w:rsid w:val="000A5C9F"/>
    <w:rsid w:val="000A5EDE"/>
    <w:rsid w:val="000A7D62"/>
    <w:rsid w:val="000B0106"/>
    <w:rsid w:val="000B1A67"/>
    <w:rsid w:val="000B24D1"/>
    <w:rsid w:val="000B50BA"/>
    <w:rsid w:val="000B5468"/>
    <w:rsid w:val="000B5532"/>
    <w:rsid w:val="000B6DEF"/>
    <w:rsid w:val="000B7026"/>
    <w:rsid w:val="000C033C"/>
    <w:rsid w:val="000C04A2"/>
    <w:rsid w:val="000C1B78"/>
    <w:rsid w:val="000C2C89"/>
    <w:rsid w:val="000C57B5"/>
    <w:rsid w:val="000C6904"/>
    <w:rsid w:val="000C6FC5"/>
    <w:rsid w:val="000D0407"/>
    <w:rsid w:val="000D0EF0"/>
    <w:rsid w:val="000D1764"/>
    <w:rsid w:val="000D20FC"/>
    <w:rsid w:val="000D2889"/>
    <w:rsid w:val="000D3887"/>
    <w:rsid w:val="000D3F12"/>
    <w:rsid w:val="000D3F69"/>
    <w:rsid w:val="000D4D19"/>
    <w:rsid w:val="000D60A6"/>
    <w:rsid w:val="000D6FF0"/>
    <w:rsid w:val="000D76B5"/>
    <w:rsid w:val="000D7B10"/>
    <w:rsid w:val="000E18B5"/>
    <w:rsid w:val="000E1DC1"/>
    <w:rsid w:val="000E5C2F"/>
    <w:rsid w:val="000E6232"/>
    <w:rsid w:val="000F0003"/>
    <w:rsid w:val="000F028D"/>
    <w:rsid w:val="000F0FE1"/>
    <w:rsid w:val="000F2BAD"/>
    <w:rsid w:val="000F2C6A"/>
    <w:rsid w:val="000F32E1"/>
    <w:rsid w:val="000F373B"/>
    <w:rsid w:val="000F3A8A"/>
    <w:rsid w:val="001004CF"/>
    <w:rsid w:val="00100E8B"/>
    <w:rsid w:val="00100FEE"/>
    <w:rsid w:val="001013A8"/>
    <w:rsid w:val="00102D8F"/>
    <w:rsid w:val="00106047"/>
    <w:rsid w:val="00107463"/>
    <w:rsid w:val="00107F1E"/>
    <w:rsid w:val="0011054F"/>
    <w:rsid w:val="00110EC7"/>
    <w:rsid w:val="00111F33"/>
    <w:rsid w:val="00112708"/>
    <w:rsid w:val="00113C57"/>
    <w:rsid w:val="0011417D"/>
    <w:rsid w:val="00114D20"/>
    <w:rsid w:val="0011572F"/>
    <w:rsid w:val="00116EAE"/>
    <w:rsid w:val="00117093"/>
    <w:rsid w:val="00117BB0"/>
    <w:rsid w:val="00120948"/>
    <w:rsid w:val="00120BAE"/>
    <w:rsid w:val="00120F8A"/>
    <w:rsid w:val="00121857"/>
    <w:rsid w:val="00121F4A"/>
    <w:rsid w:val="00125148"/>
    <w:rsid w:val="00127D35"/>
    <w:rsid w:val="001303AF"/>
    <w:rsid w:val="00131682"/>
    <w:rsid w:val="00131CA1"/>
    <w:rsid w:val="00132B10"/>
    <w:rsid w:val="001336A4"/>
    <w:rsid w:val="001355B9"/>
    <w:rsid w:val="00135F08"/>
    <w:rsid w:val="001368B5"/>
    <w:rsid w:val="00137C45"/>
    <w:rsid w:val="00137FF9"/>
    <w:rsid w:val="001402E7"/>
    <w:rsid w:val="00141952"/>
    <w:rsid w:val="00141F07"/>
    <w:rsid w:val="00141FAA"/>
    <w:rsid w:val="00144536"/>
    <w:rsid w:val="00144F46"/>
    <w:rsid w:val="0014506C"/>
    <w:rsid w:val="001453EE"/>
    <w:rsid w:val="00145896"/>
    <w:rsid w:val="001467F9"/>
    <w:rsid w:val="0014790B"/>
    <w:rsid w:val="00147D9D"/>
    <w:rsid w:val="001511B8"/>
    <w:rsid w:val="00153DE0"/>
    <w:rsid w:val="001554E4"/>
    <w:rsid w:val="00155B79"/>
    <w:rsid w:val="00156A62"/>
    <w:rsid w:val="00157845"/>
    <w:rsid w:val="001604CD"/>
    <w:rsid w:val="0016099A"/>
    <w:rsid w:val="001609B1"/>
    <w:rsid w:val="0016160A"/>
    <w:rsid w:val="001638F6"/>
    <w:rsid w:val="00163CE1"/>
    <w:rsid w:val="00165615"/>
    <w:rsid w:val="00165997"/>
    <w:rsid w:val="001710D0"/>
    <w:rsid w:val="00171157"/>
    <w:rsid w:val="00171F9D"/>
    <w:rsid w:val="0017203E"/>
    <w:rsid w:val="001745BE"/>
    <w:rsid w:val="00175C57"/>
    <w:rsid w:val="00175E55"/>
    <w:rsid w:val="001766E3"/>
    <w:rsid w:val="00176D2C"/>
    <w:rsid w:val="00177C42"/>
    <w:rsid w:val="00180EF7"/>
    <w:rsid w:val="001810C6"/>
    <w:rsid w:val="001866EE"/>
    <w:rsid w:val="00186742"/>
    <w:rsid w:val="001879F9"/>
    <w:rsid w:val="00187CB4"/>
    <w:rsid w:val="0019081C"/>
    <w:rsid w:val="00192B7D"/>
    <w:rsid w:val="00192C7E"/>
    <w:rsid w:val="001930FE"/>
    <w:rsid w:val="001945FC"/>
    <w:rsid w:val="00195D26"/>
    <w:rsid w:val="00196D26"/>
    <w:rsid w:val="00196F1D"/>
    <w:rsid w:val="00196FBC"/>
    <w:rsid w:val="001977B9"/>
    <w:rsid w:val="001977C5"/>
    <w:rsid w:val="001A0A61"/>
    <w:rsid w:val="001A19FA"/>
    <w:rsid w:val="001A485C"/>
    <w:rsid w:val="001A54C0"/>
    <w:rsid w:val="001A77E2"/>
    <w:rsid w:val="001B050C"/>
    <w:rsid w:val="001B0854"/>
    <w:rsid w:val="001B2052"/>
    <w:rsid w:val="001B2E5D"/>
    <w:rsid w:val="001B2F29"/>
    <w:rsid w:val="001B38C6"/>
    <w:rsid w:val="001C13E0"/>
    <w:rsid w:val="001C1E75"/>
    <w:rsid w:val="001C1EAE"/>
    <w:rsid w:val="001C3372"/>
    <w:rsid w:val="001C3F14"/>
    <w:rsid w:val="001C466D"/>
    <w:rsid w:val="001C4E2F"/>
    <w:rsid w:val="001C531D"/>
    <w:rsid w:val="001D1318"/>
    <w:rsid w:val="001D1C53"/>
    <w:rsid w:val="001D3CEE"/>
    <w:rsid w:val="001D5145"/>
    <w:rsid w:val="001D5FD2"/>
    <w:rsid w:val="001D67F0"/>
    <w:rsid w:val="001D7FC4"/>
    <w:rsid w:val="001E116C"/>
    <w:rsid w:val="001E26D9"/>
    <w:rsid w:val="001E2A3E"/>
    <w:rsid w:val="001E477A"/>
    <w:rsid w:val="001E4C1B"/>
    <w:rsid w:val="001E7907"/>
    <w:rsid w:val="001E7D2D"/>
    <w:rsid w:val="001F1F95"/>
    <w:rsid w:val="001F25EB"/>
    <w:rsid w:val="001F2918"/>
    <w:rsid w:val="001F51AA"/>
    <w:rsid w:val="001F573D"/>
    <w:rsid w:val="001F58D4"/>
    <w:rsid w:val="001F62B9"/>
    <w:rsid w:val="00200CED"/>
    <w:rsid w:val="00202C43"/>
    <w:rsid w:val="00202F03"/>
    <w:rsid w:val="002051A4"/>
    <w:rsid w:val="00205FD1"/>
    <w:rsid w:val="0020605F"/>
    <w:rsid w:val="00206F4A"/>
    <w:rsid w:val="0020766C"/>
    <w:rsid w:val="00207864"/>
    <w:rsid w:val="00207C12"/>
    <w:rsid w:val="0021193E"/>
    <w:rsid w:val="00211D37"/>
    <w:rsid w:val="00211EAB"/>
    <w:rsid w:val="0021265B"/>
    <w:rsid w:val="0021267A"/>
    <w:rsid w:val="002126DD"/>
    <w:rsid w:val="002143CD"/>
    <w:rsid w:val="00217080"/>
    <w:rsid w:val="002171B1"/>
    <w:rsid w:val="00220275"/>
    <w:rsid w:val="002209FF"/>
    <w:rsid w:val="00221DC5"/>
    <w:rsid w:val="002221EC"/>
    <w:rsid w:val="00224051"/>
    <w:rsid w:val="0022444A"/>
    <w:rsid w:val="00224EA7"/>
    <w:rsid w:val="002251E8"/>
    <w:rsid w:val="00225EF0"/>
    <w:rsid w:val="00227596"/>
    <w:rsid w:val="00227C77"/>
    <w:rsid w:val="002319A2"/>
    <w:rsid w:val="00231CF1"/>
    <w:rsid w:val="0023449C"/>
    <w:rsid w:val="00236AD3"/>
    <w:rsid w:val="00240B17"/>
    <w:rsid w:val="002419F0"/>
    <w:rsid w:val="002428F8"/>
    <w:rsid w:val="00243505"/>
    <w:rsid w:val="00244ECA"/>
    <w:rsid w:val="00247A54"/>
    <w:rsid w:val="00250D99"/>
    <w:rsid w:val="00251D31"/>
    <w:rsid w:val="00252907"/>
    <w:rsid w:val="00252E0E"/>
    <w:rsid w:val="00254574"/>
    <w:rsid w:val="00254AE2"/>
    <w:rsid w:val="00254FD6"/>
    <w:rsid w:val="0025635E"/>
    <w:rsid w:val="002566BE"/>
    <w:rsid w:val="0025778A"/>
    <w:rsid w:val="00257DA1"/>
    <w:rsid w:val="00260759"/>
    <w:rsid w:val="00260FAE"/>
    <w:rsid w:val="002614DD"/>
    <w:rsid w:val="002620A7"/>
    <w:rsid w:val="00263A15"/>
    <w:rsid w:val="002641D4"/>
    <w:rsid w:val="00264500"/>
    <w:rsid w:val="00264913"/>
    <w:rsid w:val="002649DB"/>
    <w:rsid w:val="00264F7C"/>
    <w:rsid w:val="00265531"/>
    <w:rsid w:val="00266204"/>
    <w:rsid w:val="00266CAD"/>
    <w:rsid w:val="002705BE"/>
    <w:rsid w:val="00270D16"/>
    <w:rsid w:val="0027282C"/>
    <w:rsid w:val="002746E8"/>
    <w:rsid w:val="00275CFC"/>
    <w:rsid w:val="0027679B"/>
    <w:rsid w:val="0027700D"/>
    <w:rsid w:val="0027729C"/>
    <w:rsid w:val="002774C9"/>
    <w:rsid w:val="00277ED7"/>
    <w:rsid w:val="00277F18"/>
    <w:rsid w:val="00280110"/>
    <w:rsid w:val="002807AF"/>
    <w:rsid w:val="002811F2"/>
    <w:rsid w:val="00282CCA"/>
    <w:rsid w:val="0028311B"/>
    <w:rsid w:val="0028408A"/>
    <w:rsid w:val="00284C9C"/>
    <w:rsid w:val="002850F8"/>
    <w:rsid w:val="002859E1"/>
    <w:rsid w:val="00290B31"/>
    <w:rsid w:val="0029302E"/>
    <w:rsid w:val="00293B24"/>
    <w:rsid w:val="00293C3D"/>
    <w:rsid w:val="00294749"/>
    <w:rsid w:val="00295352"/>
    <w:rsid w:val="00295849"/>
    <w:rsid w:val="00295A3A"/>
    <w:rsid w:val="00296533"/>
    <w:rsid w:val="0029692B"/>
    <w:rsid w:val="00296D5E"/>
    <w:rsid w:val="002970CD"/>
    <w:rsid w:val="0029741D"/>
    <w:rsid w:val="002A1A27"/>
    <w:rsid w:val="002A253A"/>
    <w:rsid w:val="002A2ABC"/>
    <w:rsid w:val="002A3111"/>
    <w:rsid w:val="002A48B4"/>
    <w:rsid w:val="002A4AEC"/>
    <w:rsid w:val="002B00C4"/>
    <w:rsid w:val="002B0774"/>
    <w:rsid w:val="002B1B2C"/>
    <w:rsid w:val="002B2373"/>
    <w:rsid w:val="002B6917"/>
    <w:rsid w:val="002B6A21"/>
    <w:rsid w:val="002B6CFA"/>
    <w:rsid w:val="002B7166"/>
    <w:rsid w:val="002C1464"/>
    <w:rsid w:val="002C4D49"/>
    <w:rsid w:val="002C675C"/>
    <w:rsid w:val="002C6D0B"/>
    <w:rsid w:val="002C6D75"/>
    <w:rsid w:val="002D1428"/>
    <w:rsid w:val="002D4F57"/>
    <w:rsid w:val="002D6586"/>
    <w:rsid w:val="002D7200"/>
    <w:rsid w:val="002D78D2"/>
    <w:rsid w:val="002D7B00"/>
    <w:rsid w:val="002E0DB0"/>
    <w:rsid w:val="002E1CF5"/>
    <w:rsid w:val="002E2271"/>
    <w:rsid w:val="002E265D"/>
    <w:rsid w:val="002E5EA7"/>
    <w:rsid w:val="002E77D8"/>
    <w:rsid w:val="002F0766"/>
    <w:rsid w:val="002F123F"/>
    <w:rsid w:val="002F5B58"/>
    <w:rsid w:val="002F6570"/>
    <w:rsid w:val="00300BDE"/>
    <w:rsid w:val="003029DE"/>
    <w:rsid w:val="00302B95"/>
    <w:rsid w:val="00311790"/>
    <w:rsid w:val="00311F29"/>
    <w:rsid w:val="0031270B"/>
    <w:rsid w:val="00312A9E"/>
    <w:rsid w:val="003142D2"/>
    <w:rsid w:val="00314B63"/>
    <w:rsid w:val="00315E1E"/>
    <w:rsid w:val="00316C59"/>
    <w:rsid w:val="00317072"/>
    <w:rsid w:val="00320A16"/>
    <w:rsid w:val="00323089"/>
    <w:rsid w:val="00323E73"/>
    <w:rsid w:val="00324EBA"/>
    <w:rsid w:val="00327C50"/>
    <w:rsid w:val="0033016F"/>
    <w:rsid w:val="00330EBA"/>
    <w:rsid w:val="00335080"/>
    <w:rsid w:val="00336556"/>
    <w:rsid w:val="003376BC"/>
    <w:rsid w:val="00337922"/>
    <w:rsid w:val="00337958"/>
    <w:rsid w:val="00341692"/>
    <w:rsid w:val="00343F4A"/>
    <w:rsid w:val="0034470A"/>
    <w:rsid w:val="00344D75"/>
    <w:rsid w:val="003500D2"/>
    <w:rsid w:val="00352309"/>
    <w:rsid w:val="00352512"/>
    <w:rsid w:val="00353A5D"/>
    <w:rsid w:val="00353C0B"/>
    <w:rsid w:val="00354BE2"/>
    <w:rsid w:val="0035519F"/>
    <w:rsid w:val="0036182F"/>
    <w:rsid w:val="00361EE9"/>
    <w:rsid w:val="00362F8D"/>
    <w:rsid w:val="00363168"/>
    <w:rsid w:val="00363768"/>
    <w:rsid w:val="00363D9A"/>
    <w:rsid w:val="00365F4E"/>
    <w:rsid w:val="00366E79"/>
    <w:rsid w:val="003675C5"/>
    <w:rsid w:val="00367634"/>
    <w:rsid w:val="00367B90"/>
    <w:rsid w:val="0037084E"/>
    <w:rsid w:val="00370C71"/>
    <w:rsid w:val="00373E79"/>
    <w:rsid w:val="00373FB2"/>
    <w:rsid w:val="00374932"/>
    <w:rsid w:val="0037521D"/>
    <w:rsid w:val="003756F8"/>
    <w:rsid w:val="00385920"/>
    <w:rsid w:val="00385F91"/>
    <w:rsid w:val="00393BB4"/>
    <w:rsid w:val="003965EB"/>
    <w:rsid w:val="0039665E"/>
    <w:rsid w:val="00396991"/>
    <w:rsid w:val="00396C62"/>
    <w:rsid w:val="00397374"/>
    <w:rsid w:val="00397411"/>
    <w:rsid w:val="003A15FC"/>
    <w:rsid w:val="003A1745"/>
    <w:rsid w:val="003A5589"/>
    <w:rsid w:val="003A61D7"/>
    <w:rsid w:val="003A6C39"/>
    <w:rsid w:val="003A78CB"/>
    <w:rsid w:val="003B0E6E"/>
    <w:rsid w:val="003B1008"/>
    <w:rsid w:val="003B1E2C"/>
    <w:rsid w:val="003B21F9"/>
    <w:rsid w:val="003B2FAC"/>
    <w:rsid w:val="003B3424"/>
    <w:rsid w:val="003B4C33"/>
    <w:rsid w:val="003B50D4"/>
    <w:rsid w:val="003B596E"/>
    <w:rsid w:val="003B66D2"/>
    <w:rsid w:val="003B792E"/>
    <w:rsid w:val="003C0A14"/>
    <w:rsid w:val="003C1206"/>
    <w:rsid w:val="003C4168"/>
    <w:rsid w:val="003C4BD5"/>
    <w:rsid w:val="003C63F2"/>
    <w:rsid w:val="003C7657"/>
    <w:rsid w:val="003C7D3F"/>
    <w:rsid w:val="003D2EF7"/>
    <w:rsid w:val="003D3388"/>
    <w:rsid w:val="003D3586"/>
    <w:rsid w:val="003D3A2C"/>
    <w:rsid w:val="003D4E0D"/>
    <w:rsid w:val="003D4E74"/>
    <w:rsid w:val="003D732F"/>
    <w:rsid w:val="003E1138"/>
    <w:rsid w:val="003E3465"/>
    <w:rsid w:val="003E354F"/>
    <w:rsid w:val="003E3926"/>
    <w:rsid w:val="003E3FF3"/>
    <w:rsid w:val="003E426E"/>
    <w:rsid w:val="003E67D2"/>
    <w:rsid w:val="003E68CC"/>
    <w:rsid w:val="003E6D1E"/>
    <w:rsid w:val="003F0F7A"/>
    <w:rsid w:val="003F20DF"/>
    <w:rsid w:val="003F46DB"/>
    <w:rsid w:val="003F5455"/>
    <w:rsid w:val="003F6DD9"/>
    <w:rsid w:val="003F7B13"/>
    <w:rsid w:val="004004B0"/>
    <w:rsid w:val="004015AF"/>
    <w:rsid w:val="00401FA5"/>
    <w:rsid w:val="00402E0F"/>
    <w:rsid w:val="004054F9"/>
    <w:rsid w:val="00405EA7"/>
    <w:rsid w:val="0040736E"/>
    <w:rsid w:val="00407DCC"/>
    <w:rsid w:val="00411463"/>
    <w:rsid w:val="00411477"/>
    <w:rsid w:val="00411F9A"/>
    <w:rsid w:val="00413D14"/>
    <w:rsid w:val="004145DE"/>
    <w:rsid w:val="00415767"/>
    <w:rsid w:val="00415F9E"/>
    <w:rsid w:val="00416345"/>
    <w:rsid w:val="00417C2F"/>
    <w:rsid w:val="004200A5"/>
    <w:rsid w:val="00420446"/>
    <w:rsid w:val="00422FCF"/>
    <w:rsid w:val="00425288"/>
    <w:rsid w:val="0042681F"/>
    <w:rsid w:val="00427043"/>
    <w:rsid w:val="00430C21"/>
    <w:rsid w:val="0043227F"/>
    <w:rsid w:val="0043408C"/>
    <w:rsid w:val="00435CA0"/>
    <w:rsid w:val="00435EA7"/>
    <w:rsid w:val="00442923"/>
    <w:rsid w:val="00442979"/>
    <w:rsid w:val="00442FDE"/>
    <w:rsid w:val="004430A5"/>
    <w:rsid w:val="004431A6"/>
    <w:rsid w:val="00444911"/>
    <w:rsid w:val="00445B42"/>
    <w:rsid w:val="00445D05"/>
    <w:rsid w:val="00452919"/>
    <w:rsid w:val="00452C9A"/>
    <w:rsid w:val="00454D2F"/>
    <w:rsid w:val="00455CBB"/>
    <w:rsid w:val="00457BFC"/>
    <w:rsid w:val="00462661"/>
    <w:rsid w:val="0046330A"/>
    <w:rsid w:val="00463886"/>
    <w:rsid w:val="0046606A"/>
    <w:rsid w:val="004661C9"/>
    <w:rsid w:val="00467DA2"/>
    <w:rsid w:val="00470044"/>
    <w:rsid w:val="00471AA5"/>
    <w:rsid w:val="0047237B"/>
    <w:rsid w:val="00472BA2"/>
    <w:rsid w:val="0047466C"/>
    <w:rsid w:val="00474A27"/>
    <w:rsid w:val="004760D0"/>
    <w:rsid w:val="004770C4"/>
    <w:rsid w:val="00480F30"/>
    <w:rsid w:val="00482F6D"/>
    <w:rsid w:val="004875EA"/>
    <w:rsid w:val="004877AD"/>
    <w:rsid w:val="004912BE"/>
    <w:rsid w:val="00491332"/>
    <w:rsid w:val="00492D7D"/>
    <w:rsid w:val="0049328D"/>
    <w:rsid w:val="00494C52"/>
    <w:rsid w:val="00494EF6"/>
    <w:rsid w:val="00494F6F"/>
    <w:rsid w:val="004960E0"/>
    <w:rsid w:val="004A139F"/>
    <w:rsid w:val="004A3BE5"/>
    <w:rsid w:val="004A410F"/>
    <w:rsid w:val="004A4D23"/>
    <w:rsid w:val="004A5174"/>
    <w:rsid w:val="004A694B"/>
    <w:rsid w:val="004A6E65"/>
    <w:rsid w:val="004A76C8"/>
    <w:rsid w:val="004A798E"/>
    <w:rsid w:val="004B030A"/>
    <w:rsid w:val="004B0334"/>
    <w:rsid w:val="004B05E0"/>
    <w:rsid w:val="004B14E1"/>
    <w:rsid w:val="004B334E"/>
    <w:rsid w:val="004B4011"/>
    <w:rsid w:val="004C3F6C"/>
    <w:rsid w:val="004C4297"/>
    <w:rsid w:val="004C6F06"/>
    <w:rsid w:val="004D28C2"/>
    <w:rsid w:val="004D2924"/>
    <w:rsid w:val="004D5ADB"/>
    <w:rsid w:val="004D5E19"/>
    <w:rsid w:val="004D6FC9"/>
    <w:rsid w:val="004E02D9"/>
    <w:rsid w:val="004E0BD1"/>
    <w:rsid w:val="004E0C3B"/>
    <w:rsid w:val="004E122F"/>
    <w:rsid w:val="004E184F"/>
    <w:rsid w:val="004E2D7A"/>
    <w:rsid w:val="004E46DD"/>
    <w:rsid w:val="004E48AF"/>
    <w:rsid w:val="004E4BEE"/>
    <w:rsid w:val="004E5B3D"/>
    <w:rsid w:val="004E62F2"/>
    <w:rsid w:val="004E6CD3"/>
    <w:rsid w:val="004E71BA"/>
    <w:rsid w:val="004E7F7C"/>
    <w:rsid w:val="004F028F"/>
    <w:rsid w:val="004F0B7B"/>
    <w:rsid w:val="004F0C23"/>
    <w:rsid w:val="004F1790"/>
    <w:rsid w:val="004F245D"/>
    <w:rsid w:val="004F377A"/>
    <w:rsid w:val="004F692E"/>
    <w:rsid w:val="004F7FF8"/>
    <w:rsid w:val="00500DD8"/>
    <w:rsid w:val="005011A6"/>
    <w:rsid w:val="00502CE2"/>
    <w:rsid w:val="00502FEE"/>
    <w:rsid w:val="00503C65"/>
    <w:rsid w:val="00504E3D"/>
    <w:rsid w:val="005076ED"/>
    <w:rsid w:val="00511181"/>
    <w:rsid w:val="00511AC7"/>
    <w:rsid w:val="005128D8"/>
    <w:rsid w:val="0051410E"/>
    <w:rsid w:val="0051530E"/>
    <w:rsid w:val="00515AE9"/>
    <w:rsid w:val="005171AF"/>
    <w:rsid w:val="00517BBD"/>
    <w:rsid w:val="005212E5"/>
    <w:rsid w:val="00521506"/>
    <w:rsid w:val="00521844"/>
    <w:rsid w:val="00522892"/>
    <w:rsid w:val="005234D7"/>
    <w:rsid w:val="00523734"/>
    <w:rsid w:val="00523C96"/>
    <w:rsid w:val="00525361"/>
    <w:rsid w:val="00525F61"/>
    <w:rsid w:val="005305EB"/>
    <w:rsid w:val="00530AAD"/>
    <w:rsid w:val="00530D46"/>
    <w:rsid w:val="00531183"/>
    <w:rsid w:val="00531A17"/>
    <w:rsid w:val="005321B6"/>
    <w:rsid w:val="005323B7"/>
    <w:rsid w:val="005330BF"/>
    <w:rsid w:val="00533CF1"/>
    <w:rsid w:val="00536DD3"/>
    <w:rsid w:val="00542DCA"/>
    <w:rsid w:val="00543BAB"/>
    <w:rsid w:val="00545928"/>
    <w:rsid w:val="005475C1"/>
    <w:rsid w:val="0055033F"/>
    <w:rsid w:val="0055165D"/>
    <w:rsid w:val="0055179C"/>
    <w:rsid w:val="005527AD"/>
    <w:rsid w:val="0055708E"/>
    <w:rsid w:val="00557309"/>
    <w:rsid w:val="0055786C"/>
    <w:rsid w:val="00557AA2"/>
    <w:rsid w:val="00560D98"/>
    <w:rsid w:val="00562031"/>
    <w:rsid w:val="005638C1"/>
    <w:rsid w:val="00564F55"/>
    <w:rsid w:val="005701BE"/>
    <w:rsid w:val="00571842"/>
    <w:rsid w:val="00571C61"/>
    <w:rsid w:val="005737AF"/>
    <w:rsid w:val="0057489E"/>
    <w:rsid w:val="005750B0"/>
    <w:rsid w:val="00575265"/>
    <w:rsid w:val="00580116"/>
    <w:rsid w:val="005821FE"/>
    <w:rsid w:val="005831AC"/>
    <w:rsid w:val="0058513B"/>
    <w:rsid w:val="005903CF"/>
    <w:rsid w:val="005908E7"/>
    <w:rsid w:val="0059101E"/>
    <w:rsid w:val="00591454"/>
    <w:rsid w:val="0059277C"/>
    <w:rsid w:val="00595D5E"/>
    <w:rsid w:val="00596635"/>
    <w:rsid w:val="00596837"/>
    <w:rsid w:val="005A08EB"/>
    <w:rsid w:val="005A42E2"/>
    <w:rsid w:val="005A4754"/>
    <w:rsid w:val="005A518B"/>
    <w:rsid w:val="005A73F9"/>
    <w:rsid w:val="005B060A"/>
    <w:rsid w:val="005B0862"/>
    <w:rsid w:val="005B0CD8"/>
    <w:rsid w:val="005B16D8"/>
    <w:rsid w:val="005B24F0"/>
    <w:rsid w:val="005B368F"/>
    <w:rsid w:val="005B3A72"/>
    <w:rsid w:val="005B6D25"/>
    <w:rsid w:val="005C0DE7"/>
    <w:rsid w:val="005C1215"/>
    <w:rsid w:val="005C56DD"/>
    <w:rsid w:val="005D0480"/>
    <w:rsid w:val="005D0E46"/>
    <w:rsid w:val="005D0F5A"/>
    <w:rsid w:val="005D25FB"/>
    <w:rsid w:val="005D263A"/>
    <w:rsid w:val="005D5417"/>
    <w:rsid w:val="005D5ED5"/>
    <w:rsid w:val="005D7ACE"/>
    <w:rsid w:val="005D7F8E"/>
    <w:rsid w:val="005E1300"/>
    <w:rsid w:val="005E3568"/>
    <w:rsid w:val="005E3590"/>
    <w:rsid w:val="005E4A13"/>
    <w:rsid w:val="005E4F23"/>
    <w:rsid w:val="005E6966"/>
    <w:rsid w:val="005E6B67"/>
    <w:rsid w:val="005E7266"/>
    <w:rsid w:val="005E79C0"/>
    <w:rsid w:val="005F0CB2"/>
    <w:rsid w:val="005F1B04"/>
    <w:rsid w:val="005F1D85"/>
    <w:rsid w:val="005F289C"/>
    <w:rsid w:val="005F3B31"/>
    <w:rsid w:val="00600ED9"/>
    <w:rsid w:val="00601622"/>
    <w:rsid w:val="006027F0"/>
    <w:rsid w:val="00602F09"/>
    <w:rsid w:val="00603C59"/>
    <w:rsid w:val="00604171"/>
    <w:rsid w:val="00604370"/>
    <w:rsid w:val="00605866"/>
    <w:rsid w:val="0060673D"/>
    <w:rsid w:val="00607A20"/>
    <w:rsid w:val="006105B6"/>
    <w:rsid w:val="0061223F"/>
    <w:rsid w:val="00613275"/>
    <w:rsid w:val="00613622"/>
    <w:rsid w:val="006154E3"/>
    <w:rsid w:val="0061568C"/>
    <w:rsid w:val="00615697"/>
    <w:rsid w:val="00615CEE"/>
    <w:rsid w:val="00621886"/>
    <w:rsid w:val="00622144"/>
    <w:rsid w:val="00622176"/>
    <w:rsid w:val="00624D7E"/>
    <w:rsid w:val="00626C9D"/>
    <w:rsid w:val="00630725"/>
    <w:rsid w:val="00630F06"/>
    <w:rsid w:val="0063238A"/>
    <w:rsid w:val="00633877"/>
    <w:rsid w:val="00634F9D"/>
    <w:rsid w:val="00635F58"/>
    <w:rsid w:val="006366FD"/>
    <w:rsid w:val="00637C22"/>
    <w:rsid w:val="0064076D"/>
    <w:rsid w:val="00640BFF"/>
    <w:rsid w:val="006416BB"/>
    <w:rsid w:val="00641FA3"/>
    <w:rsid w:val="0064251D"/>
    <w:rsid w:val="00642B26"/>
    <w:rsid w:val="006439C4"/>
    <w:rsid w:val="0064442B"/>
    <w:rsid w:val="00644898"/>
    <w:rsid w:val="00644AEE"/>
    <w:rsid w:val="0064561D"/>
    <w:rsid w:val="006465A8"/>
    <w:rsid w:val="0064665A"/>
    <w:rsid w:val="00646C08"/>
    <w:rsid w:val="00646D29"/>
    <w:rsid w:val="0065097A"/>
    <w:rsid w:val="00650ACC"/>
    <w:rsid w:val="006517FA"/>
    <w:rsid w:val="00651BD6"/>
    <w:rsid w:val="00651DB8"/>
    <w:rsid w:val="0065371D"/>
    <w:rsid w:val="006560CF"/>
    <w:rsid w:val="006564E6"/>
    <w:rsid w:val="006565A5"/>
    <w:rsid w:val="006612F2"/>
    <w:rsid w:val="00661BFA"/>
    <w:rsid w:val="00662222"/>
    <w:rsid w:val="00662EE9"/>
    <w:rsid w:val="006644BD"/>
    <w:rsid w:val="0066451F"/>
    <w:rsid w:val="00664C20"/>
    <w:rsid w:val="00664FF8"/>
    <w:rsid w:val="00667483"/>
    <w:rsid w:val="00667B55"/>
    <w:rsid w:val="00670A04"/>
    <w:rsid w:val="006715F5"/>
    <w:rsid w:val="00671821"/>
    <w:rsid w:val="00671843"/>
    <w:rsid w:val="00673573"/>
    <w:rsid w:val="00674097"/>
    <w:rsid w:val="0067560F"/>
    <w:rsid w:val="00675A06"/>
    <w:rsid w:val="00675D1D"/>
    <w:rsid w:val="0067645B"/>
    <w:rsid w:val="0068076F"/>
    <w:rsid w:val="0068130B"/>
    <w:rsid w:val="00682441"/>
    <w:rsid w:val="006846F7"/>
    <w:rsid w:val="006857C8"/>
    <w:rsid w:val="00685F14"/>
    <w:rsid w:val="00686877"/>
    <w:rsid w:val="00686C46"/>
    <w:rsid w:val="0069038C"/>
    <w:rsid w:val="00690AB5"/>
    <w:rsid w:val="00690C63"/>
    <w:rsid w:val="00690FFF"/>
    <w:rsid w:val="0069247C"/>
    <w:rsid w:val="00692CE3"/>
    <w:rsid w:val="00693A2B"/>
    <w:rsid w:val="0069424D"/>
    <w:rsid w:val="00695041"/>
    <w:rsid w:val="00695863"/>
    <w:rsid w:val="00695FD3"/>
    <w:rsid w:val="00697656"/>
    <w:rsid w:val="0069799F"/>
    <w:rsid w:val="006A2484"/>
    <w:rsid w:val="006A29FE"/>
    <w:rsid w:val="006A3C5A"/>
    <w:rsid w:val="006A4C15"/>
    <w:rsid w:val="006A4EB5"/>
    <w:rsid w:val="006A5723"/>
    <w:rsid w:val="006A6112"/>
    <w:rsid w:val="006A6832"/>
    <w:rsid w:val="006A6E37"/>
    <w:rsid w:val="006A6E9C"/>
    <w:rsid w:val="006A7098"/>
    <w:rsid w:val="006A7A04"/>
    <w:rsid w:val="006B15E8"/>
    <w:rsid w:val="006B20A0"/>
    <w:rsid w:val="006B20DD"/>
    <w:rsid w:val="006B2782"/>
    <w:rsid w:val="006B2E80"/>
    <w:rsid w:val="006B2E9A"/>
    <w:rsid w:val="006B35D9"/>
    <w:rsid w:val="006B49FD"/>
    <w:rsid w:val="006B5B58"/>
    <w:rsid w:val="006B783C"/>
    <w:rsid w:val="006B7E43"/>
    <w:rsid w:val="006C0DDD"/>
    <w:rsid w:val="006C13E4"/>
    <w:rsid w:val="006C1917"/>
    <w:rsid w:val="006C2BD4"/>
    <w:rsid w:val="006C3019"/>
    <w:rsid w:val="006C3058"/>
    <w:rsid w:val="006C3707"/>
    <w:rsid w:val="006C4351"/>
    <w:rsid w:val="006C43D0"/>
    <w:rsid w:val="006C49B9"/>
    <w:rsid w:val="006C5D2C"/>
    <w:rsid w:val="006C6FDF"/>
    <w:rsid w:val="006C7F80"/>
    <w:rsid w:val="006D1BAC"/>
    <w:rsid w:val="006D1C7B"/>
    <w:rsid w:val="006D31A8"/>
    <w:rsid w:val="006D375D"/>
    <w:rsid w:val="006D37CD"/>
    <w:rsid w:val="006D455D"/>
    <w:rsid w:val="006D5815"/>
    <w:rsid w:val="006D726E"/>
    <w:rsid w:val="006E01A7"/>
    <w:rsid w:val="006E01E0"/>
    <w:rsid w:val="006E1008"/>
    <w:rsid w:val="006E372C"/>
    <w:rsid w:val="006E38B4"/>
    <w:rsid w:val="006E5723"/>
    <w:rsid w:val="006E5C61"/>
    <w:rsid w:val="006F026E"/>
    <w:rsid w:val="006F0AA1"/>
    <w:rsid w:val="006F1C84"/>
    <w:rsid w:val="006F3308"/>
    <w:rsid w:val="006F3918"/>
    <w:rsid w:val="006F3993"/>
    <w:rsid w:val="006F3DC2"/>
    <w:rsid w:val="006F3E02"/>
    <w:rsid w:val="006F4698"/>
    <w:rsid w:val="006F70E7"/>
    <w:rsid w:val="006F77A7"/>
    <w:rsid w:val="006F79A1"/>
    <w:rsid w:val="00700D38"/>
    <w:rsid w:val="0070107F"/>
    <w:rsid w:val="007011A9"/>
    <w:rsid w:val="00701ECC"/>
    <w:rsid w:val="00702F46"/>
    <w:rsid w:val="00704824"/>
    <w:rsid w:val="00705D57"/>
    <w:rsid w:val="00707446"/>
    <w:rsid w:val="00707EAC"/>
    <w:rsid w:val="00710F0A"/>
    <w:rsid w:val="007116DA"/>
    <w:rsid w:val="0071233A"/>
    <w:rsid w:val="00713B36"/>
    <w:rsid w:val="00713EEB"/>
    <w:rsid w:val="007152DE"/>
    <w:rsid w:val="0071588D"/>
    <w:rsid w:val="00716B05"/>
    <w:rsid w:val="00717CBC"/>
    <w:rsid w:val="00720683"/>
    <w:rsid w:val="00720898"/>
    <w:rsid w:val="00720B1C"/>
    <w:rsid w:val="0072105D"/>
    <w:rsid w:val="0072146A"/>
    <w:rsid w:val="0072250A"/>
    <w:rsid w:val="00722AEC"/>
    <w:rsid w:val="007234BA"/>
    <w:rsid w:val="00723719"/>
    <w:rsid w:val="00723D6E"/>
    <w:rsid w:val="007269A6"/>
    <w:rsid w:val="00730FCE"/>
    <w:rsid w:val="00731EA5"/>
    <w:rsid w:val="007335D0"/>
    <w:rsid w:val="0073481C"/>
    <w:rsid w:val="00735AED"/>
    <w:rsid w:val="00735C2C"/>
    <w:rsid w:val="00737DE6"/>
    <w:rsid w:val="00737E32"/>
    <w:rsid w:val="007418FC"/>
    <w:rsid w:val="00742710"/>
    <w:rsid w:val="00742D73"/>
    <w:rsid w:val="00743A4D"/>
    <w:rsid w:val="007448B3"/>
    <w:rsid w:val="007472F4"/>
    <w:rsid w:val="00747D35"/>
    <w:rsid w:val="00751CEA"/>
    <w:rsid w:val="00752546"/>
    <w:rsid w:val="00752B93"/>
    <w:rsid w:val="007530C1"/>
    <w:rsid w:val="00753982"/>
    <w:rsid w:val="00754971"/>
    <w:rsid w:val="007549A8"/>
    <w:rsid w:val="00754EDC"/>
    <w:rsid w:val="00754FF3"/>
    <w:rsid w:val="007555F9"/>
    <w:rsid w:val="00755987"/>
    <w:rsid w:val="00756303"/>
    <w:rsid w:val="00756608"/>
    <w:rsid w:val="0075696A"/>
    <w:rsid w:val="0076091C"/>
    <w:rsid w:val="007628F1"/>
    <w:rsid w:val="007630EE"/>
    <w:rsid w:val="007638EE"/>
    <w:rsid w:val="0076471C"/>
    <w:rsid w:val="0077070F"/>
    <w:rsid w:val="00770E13"/>
    <w:rsid w:val="00772388"/>
    <w:rsid w:val="00772D5B"/>
    <w:rsid w:val="007731E7"/>
    <w:rsid w:val="0077445E"/>
    <w:rsid w:val="00774C2C"/>
    <w:rsid w:val="007759AD"/>
    <w:rsid w:val="00775B0A"/>
    <w:rsid w:val="00777C7D"/>
    <w:rsid w:val="00777C84"/>
    <w:rsid w:val="00780C07"/>
    <w:rsid w:val="00781B1A"/>
    <w:rsid w:val="00781DB6"/>
    <w:rsid w:val="00783108"/>
    <w:rsid w:val="00784365"/>
    <w:rsid w:val="007873B7"/>
    <w:rsid w:val="007878A9"/>
    <w:rsid w:val="0079138F"/>
    <w:rsid w:val="00793963"/>
    <w:rsid w:val="00794B14"/>
    <w:rsid w:val="0079556F"/>
    <w:rsid w:val="00795ABC"/>
    <w:rsid w:val="007A1589"/>
    <w:rsid w:val="007A21FB"/>
    <w:rsid w:val="007A2543"/>
    <w:rsid w:val="007A31F3"/>
    <w:rsid w:val="007A3985"/>
    <w:rsid w:val="007A3CD1"/>
    <w:rsid w:val="007A5E02"/>
    <w:rsid w:val="007A6064"/>
    <w:rsid w:val="007B03B0"/>
    <w:rsid w:val="007B35F7"/>
    <w:rsid w:val="007B3AF1"/>
    <w:rsid w:val="007B4938"/>
    <w:rsid w:val="007B5159"/>
    <w:rsid w:val="007C107F"/>
    <w:rsid w:val="007C2A56"/>
    <w:rsid w:val="007C2E44"/>
    <w:rsid w:val="007C329D"/>
    <w:rsid w:val="007C5A94"/>
    <w:rsid w:val="007C65E6"/>
    <w:rsid w:val="007C69D8"/>
    <w:rsid w:val="007C6AF6"/>
    <w:rsid w:val="007C6B8B"/>
    <w:rsid w:val="007C7146"/>
    <w:rsid w:val="007D0137"/>
    <w:rsid w:val="007D0D2A"/>
    <w:rsid w:val="007D0D74"/>
    <w:rsid w:val="007D121D"/>
    <w:rsid w:val="007D5053"/>
    <w:rsid w:val="007D67AC"/>
    <w:rsid w:val="007D7BEC"/>
    <w:rsid w:val="007E0D33"/>
    <w:rsid w:val="007E1339"/>
    <w:rsid w:val="007E1681"/>
    <w:rsid w:val="007E1FB3"/>
    <w:rsid w:val="007E236B"/>
    <w:rsid w:val="007E3550"/>
    <w:rsid w:val="007E3AEE"/>
    <w:rsid w:val="007E66CC"/>
    <w:rsid w:val="007E6D13"/>
    <w:rsid w:val="007E6E21"/>
    <w:rsid w:val="007E743A"/>
    <w:rsid w:val="007E7A16"/>
    <w:rsid w:val="007F0B7A"/>
    <w:rsid w:val="007F107F"/>
    <w:rsid w:val="007F18D8"/>
    <w:rsid w:val="007F2A59"/>
    <w:rsid w:val="007F4F1C"/>
    <w:rsid w:val="007F735E"/>
    <w:rsid w:val="00800904"/>
    <w:rsid w:val="00802AC3"/>
    <w:rsid w:val="0080350B"/>
    <w:rsid w:val="0080481D"/>
    <w:rsid w:val="00804AA7"/>
    <w:rsid w:val="00805786"/>
    <w:rsid w:val="00805F10"/>
    <w:rsid w:val="00806D23"/>
    <w:rsid w:val="0081129F"/>
    <w:rsid w:val="00811950"/>
    <w:rsid w:val="00811A3F"/>
    <w:rsid w:val="00812665"/>
    <w:rsid w:val="008140C2"/>
    <w:rsid w:val="008140FA"/>
    <w:rsid w:val="00814775"/>
    <w:rsid w:val="00814BA4"/>
    <w:rsid w:val="00814C71"/>
    <w:rsid w:val="00815F51"/>
    <w:rsid w:val="008173B8"/>
    <w:rsid w:val="0081740E"/>
    <w:rsid w:val="00820322"/>
    <w:rsid w:val="00821111"/>
    <w:rsid w:val="008212AF"/>
    <w:rsid w:val="00821AA4"/>
    <w:rsid w:val="00822137"/>
    <w:rsid w:val="00823623"/>
    <w:rsid w:val="0082403C"/>
    <w:rsid w:val="00825264"/>
    <w:rsid w:val="0082592E"/>
    <w:rsid w:val="0082689E"/>
    <w:rsid w:val="008271E8"/>
    <w:rsid w:val="00827C82"/>
    <w:rsid w:val="0083051D"/>
    <w:rsid w:val="00830620"/>
    <w:rsid w:val="008315C5"/>
    <w:rsid w:val="0083225F"/>
    <w:rsid w:val="00836436"/>
    <w:rsid w:val="008364F1"/>
    <w:rsid w:val="008401FF"/>
    <w:rsid w:val="0084030C"/>
    <w:rsid w:val="00841150"/>
    <w:rsid w:val="0084123B"/>
    <w:rsid w:val="008414B0"/>
    <w:rsid w:val="00841836"/>
    <w:rsid w:val="008434AC"/>
    <w:rsid w:val="008435A6"/>
    <w:rsid w:val="00844DF9"/>
    <w:rsid w:val="00845ABF"/>
    <w:rsid w:val="00846102"/>
    <w:rsid w:val="00846E68"/>
    <w:rsid w:val="00847531"/>
    <w:rsid w:val="00847B0C"/>
    <w:rsid w:val="00850B42"/>
    <w:rsid w:val="00850B6D"/>
    <w:rsid w:val="00851A9E"/>
    <w:rsid w:val="00852193"/>
    <w:rsid w:val="00856123"/>
    <w:rsid w:val="00856734"/>
    <w:rsid w:val="00856F90"/>
    <w:rsid w:val="008611C2"/>
    <w:rsid w:val="008612F9"/>
    <w:rsid w:val="00862D55"/>
    <w:rsid w:val="008654AD"/>
    <w:rsid w:val="00865D0B"/>
    <w:rsid w:val="0086658E"/>
    <w:rsid w:val="008667D7"/>
    <w:rsid w:val="008704D3"/>
    <w:rsid w:val="00870681"/>
    <w:rsid w:val="00871A43"/>
    <w:rsid w:val="0087278E"/>
    <w:rsid w:val="00874631"/>
    <w:rsid w:val="00876B73"/>
    <w:rsid w:val="00876FD5"/>
    <w:rsid w:val="008776B2"/>
    <w:rsid w:val="0087795E"/>
    <w:rsid w:val="008805AF"/>
    <w:rsid w:val="00880945"/>
    <w:rsid w:val="00881414"/>
    <w:rsid w:val="0088221A"/>
    <w:rsid w:val="00884BBF"/>
    <w:rsid w:val="00884CE1"/>
    <w:rsid w:val="0088555D"/>
    <w:rsid w:val="00890C15"/>
    <w:rsid w:val="00891369"/>
    <w:rsid w:val="00891A43"/>
    <w:rsid w:val="00891F57"/>
    <w:rsid w:val="00892D70"/>
    <w:rsid w:val="008943C4"/>
    <w:rsid w:val="00894F2D"/>
    <w:rsid w:val="008951F1"/>
    <w:rsid w:val="008954D9"/>
    <w:rsid w:val="00897A52"/>
    <w:rsid w:val="008A19D2"/>
    <w:rsid w:val="008A2669"/>
    <w:rsid w:val="008A2CF9"/>
    <w:rsid w:val="008A5246"/>
    <w:rsid w:val="008A614D"/>
    <w:rsid w:val="008A6B4D"/>
    <w:rsid w:val="008A76D1"/>
    <w:rsid w:val="008B094C"/>
    <w:rsid w:val="008B0A52"/>
    <w:rsid w:val="008B0D64"/>
    <w:rsid w:val="008B1258"/>
    <w:rsid w:val="008B3DB1"/>
    <w:rsid w:val="008B4688"/>
    <w:rsid w:val="008B5020"/>
    <w:rsid w:val="008B70B3"/>
    <w:rsid w:val="008C1110"/>
    <w:rsid w:val="008C1DF2"/>
    <w:rsid w:val="008C39C3"/>
    <w:rsid w:val="008C3F3C"/>
    <w:rsid w:val="008C43A6"/>
    <w:rsid w:val="008C4FEE"/>
    <w:rsid w:val="008C6033"/>
    <w:rsid w:val="008C6937"/>
    <w:rsid w:val="008C770F"/>
    <w:rsid w:val="008C7959"/>
    <w:rsid w:val="008D1059"/>
    <w:rsid w:val="008D1632"/>
    <w:rsid w:val="008D1C69"/>
    <w:rsid w:val="008D3225"/>
    <w:rsid w:val="008D3FBD"/>
    <w:rsid w:val="008D4285"/>
    <w:rsid w:val="008D4F65"/>
    <w:rsid w:val="008D5671"/>
    <w:rsid w:val="008D75B3"/>
    <w:rsid w:val="008D7E13"/>
    <w:rsid w:val="008E0161"/>
    <w:rsid w:val="008E06F8"/>
    <w:rsid w:val="008E1E27"/>
    <w:rsid w:val="008E372E"/>
    <w:rsid w:val="008E3AFA"/>
    <w:rsid w:val="008E5365"/>
    <w:rsid w:val="008E64EE"/>
    <w:rsid w:val="008E6A80"/>
    <w:rsid w:val="008E70B8"/>
    <w:rsid w:val="008E7E06"/>
    <w:rsid w:val="008F1B59"/>
    <w:rsid w:val="008F437F"/>
    <w:rsid w:val="008F521B"/>
    <w:rsid w:val="00902E17"/>
    <w:rsid w:val="0090408C"/>
    <w:rsid w:val="00905585"/>
    <w:rsid w:val="009070C1"/>
    <w:rsid w:val="00907365"/>
    <w:rsid w:val="00907830"/>
    <w:rsid w:val="00907F4C"/>
    <w:rsid w:val="009114A4"/>
    <w:rsid w:val="00912882"/>
    <w:rsid w:val="00912F5A"/>
    <w:rsid w:val="00914609"/>
    <w:rsid w:val="009177DA"/>
    <w:rsid w:val="00917A73"/>
    <w:rsid w:val="009201C4"/>
    <w:rsid w:val="00920E78"/>
    <w:rsid w:val="00921498"/>
    <w:rsid w:val="00921725"/>
    <w:rsid w:val="00922122"/>
    <w:rsid w:val="0092369A"/>
    <w:rsid w:val="00925693"/>
    <w:rsid w:val="00927C69"/>
    <w:rsid w:val="009315D1"/>
    <w:rsid w:val="009318D8"/>
    <w:rsid w:val="009327A7"/>
    <w:rsid w:val="00932E58"/>
    <w:rsid w:val="009334B4"/>
    <w:rsid w:val="009340B4"/>
    <w:rsid w:val="009345D3"/>
    <w:rsid w:val="00935121"/>
    <w:rsid w:val="009352D8"/>
    <w:rsid w:val="00937611"/>
    <w:rsid w:val="00937C0E"/>
    <w:rsid w:val="009403BD"/>
    <w:rsid w:val="00940760"/>
    <w:rsid w:val="009413C1"/>
    <w:rsid w:val="00941535"/>
    <w:rsid w:val="00942873"/>
    <w:rsid w:val="0094377A"/>
    <w:rsid w:val="009439F2"/>
    <w:rsid w:val="00944032"/>
    <w:rsid w:val="00946473"/>
    <w:rsid w:val="00946E05"/>
    <w:rsid w:val="00947BCA"/>
    <w:rsid w:val="0095006A"/>
    <w:rsid w:val="00950984"/>
    <w:rsid w:val="0095105D"/>
    <w:rsid w:val="00951F2D"/>
    <w:rsid w:val="009549BC"/>
    <w:rsid w:val="00955D40"/>
    <w:rsid w:val="00957727"/>
    <w:rsid w:val="00957FE9"/>
    <w:rsid w:val="00960B1F"/>
    <w:rsid w:val="00960D0B"/>
    <w:rsid w:val="009613CA"/>
    <w:rsid w:val="009620B3"/>
    <w:rsid w:val="00962789"/>
    <w:rsid w:val="009630D9"/>
    <w:rsid w:val="00963B06"/>
    <w:rsid w:val="00964713"/>
    <w:rsid w:val="00965817"/>
    <w:rsid w:val="0096677A"/>
    <w:rsid w:val="0096713D"/>
    <w:rsid w:val="009676B6"/>
    <w:rsid w:val="00970895"/>
    <w:rsid w:val="00971680"/>
    <w:rsid w:val="00971C2F"/>
    <w:rsid w:val="00973F74"/>
    <w:rsid w:val="00976719"/>
    <w:rsid w:val="00981300"/>
    <w:rsid w:val="009813CA"/>
    <w:rsid w:val="00983548"/>
    <w:rsid w:val="009837AB"/>
    <w:rsid w:val="0098465C"/>
    <w:rsid w:val="0098707B"/>
    <w:rsid w:val="00987F45"/>
    <w:rsid w:val="00990145"/>
    <w:rsid w:val="00990C5C"/>
    <w:rsid w:val="009920EE"/>
    <w:rsid w:val="00992CAF"/>
    <w:rsid w:val="00993569"/>
    <w:rsid w:val="00994EAE"/>
    <w:rsid w:val="00995710"/>
    <w:rsid w:val="00997EC2"/>
    <w:rsid w:val="009A1405"/>
    <w:rsid w:val="009A1BE4"/>
    <w:rsid w:val="009A42B0"/>
    <w:rsid w:val="009A7C5A"/>
    <w:rsid w:val="009B21AC"/>
    <w:rsid w:val="009B307B"/>
    <w:rsid w:val="009B4CF0"/>
    <w:rsid w:val="009B676C"/>
    <w:rsid w:val="009C156D"/>
    <w:rsid w:val="009C23EE"/>
    <w:rsid w:val="009C2FF7"/>
    <w:rsid w:val="009C45A7"/>
    <w:rsid w:val="009C4754"/>
    <w:rsid w:val="009C4780"/>
    <w:rsid w:val="009C4A6E"/>
    <w:rsid w:val="009C54C7"/>
    <w:rsid w:val="009C55CF"/>
    <w:rsid w:val="009C5FB5"/>
    <w:rsid w:val="009C606B"/>
    <w:rsid w:val="009C60D9"/>
    <w:rsid w:val="009C63D1"/>
    <w:rsid w:val="009D1635"/>
    <w:rsid w:val="009D1644"/>
    <w:rsid w:val="009D1AD0"/>
    <w:rsid w:val="009D23C5"/>
    <w:rsid w:val="009D4326"/>
    <w:rsid w:val="009D43F5"/>
    <w:rsid w:val="009D4D03"/>
    <w:rsid w:val="009D55FE"/>
    <w:rsid w:val="009D5637"/>
    <w:rsid w:val="009D60D8"/>
    <w:rsid w:val="009D6206"/>
    <w:rsid w:val="009D672C"/>
    <w:rsid w:val="009D6F4F"/>
    <w:rsid w:val="009E0398"/>
    <w:rsid w:val="009E0414"/>
    <w:rsid w:val="009E072B"/>
    <w:rsid w:val="009E3394"/>
    <w:rsid w:val="009E41BB"/>
    <w:rsid w:val="009E4483"/>
    <w:rsid w:val="009E5284"/>
    <w:rsid w:val="009E67E6"/>
    <w:rsid w:val="009E6B3F"/>
    <w:rsid w:val="009E773D"/>
    <w:rsid w:val="009F0280"/>
    <w:rsid w:val="009F0AFB"/>
    <w:rsid w:val="009F0F3A"/>
    <w:rsid w:val="009F2417"/>
    <w:rsid w:val="009F2976"/>
    <w:rsid w:val="009F32AB"/>
    <w:rsid w:val="009F3734"/>
    <w:rsid w:val="009F4868"/>
    <w:rsid w:val="00A00399"/>
    <w:rsid w:val="00A00A7D"/>
    <w:rsid w:val="00A01228"/>
    <w:rsid w:val="00A01981"/>
    <w:rsid w:val="00A04520"/>
    <w:rsid w:val="00A0493B"/>
    <w:rsid w:val="00A050CF"/>
    <w:rsid w:val="00A06589"/>
    <w:rsid w:val="00A066D1"/>
    <w:rsid w:val="00A06A05"/>
    <w:rsid w:val="00A10BB9"/>
    <w:rsid w:val="00A110F2"/>
    <w:rsid w:val="00A12783"/>
    <w:rsid w:val="00A13136"/>
    <w:rsid w:val="00A14AB2"/>
    <w:rsid w:val="00A15426"/>
    <w:rsid w:val="00A15F60"/>
    <w:rsid w:val="00A16217"/>
    <w:rsid w:val="00A177EC"/>
    <w:rsid w:val="00A21208"/>
    <w:rsid w:val="00A23D98"/>
    <w:rsid w:val="00A24CED"/>
    <w:rsid w:val="00A25CE3"/>
    <w:rsid w:val="00A26A18"/>
    <w:rsid w:val="00A30F72"/>
    <w:rsid w:val="00A35093"/>
    <w:rsid w:val="00A357C5"/>
    <w:rsid w:val="00A35DC8"/>
    <w:rsid w:val="00A363B6"/>
    <w:rsid w:val="00A36B0D"/>
    <w:rsid w:val="00A36FEC"/>
    <w:rsid w:val="00A370F4"/>
    <w:rsid w:val="00A37F56"/>
    <w:rsid w:val="00A4030F"/>
    <w:rsid w:val="00A413C2"/>
    <w:rsid w:val="00A424A8"/>
    <w:rsid w:val="00A425BC"/>
    <w:rsid w:val="00A425BE"/>
    <w:rsid w:val="00A43604"/>
    <w:rsid w:val="00A43C6F"/>
    <w:rsid w:val="00A43FCF"/>
    <w:rsid w:val="00A443E7"/>
    <w:rsid w:val="00A46AB1"/>
    <w:rsid w:val="00A470FD"/>
    <w:rsid w:val="00A5018C"/>
    <w:rsid w:val="00A51B53"/>
    <w:rsid w:val="00A51D5B"/>
    <w:rsid w:val="00A51E77"/>
    <w:rsid w:val="00A52675"/>
    <w:rsid w:val="00A530F1"/>
    <w:rsid w:val="00A5697E"/>
    <w:rsid w:val="00A56EEA"/>
    <w:rsid w:val="00A60A75"/>
    <w:rsid w:val="00A62DA1"/>
    <w:rsid w:val="00A7050A"/>
    <w:rsid w:val="00A70EDB"/>
    <w:rsid w:val="00A71A18"/>
    <w:rsid w:val="00A71A4A"/>
    <w:rsid w:val="00A71A7A"/>
    <w:rsid w:val="00A731C2"/>
    <w:rsid w:val="00A731ED"/>
    <w:rsid w:val="00A73775"/>
    <w:rsid w:val="00A7377F"/>
    <w:rsid w:val="00A73800"/>
    <w:rsid w:val="00A76A18"/>
    <w:rsid w:val="00A76F31"/>
    <w:rsid w:val="00A77053"/>
    <w:rsid w:val="00A77769"/>
    <w:rsid w:val="00A8053A"/>
    <w:rsid w:val="00A817F2"/>
    <w:rsid w:val="00A82B7C"/>
    <w:rsid w:val="00A82FDE"/>
    <w:rsid w:val="00A8311C"/>
    <w:rsid w:val="00A869A0"/>
    <w:rsid w:val="00A86AEE"/>
    <w:rsid w:val="00A94217"/>
    <w:rsid w:val="00A94D83"/>
    <w:rsid w:val="00A94FF4"/>
    <w:rsid w:val="00A96314"/>
    <w:rsid w:val="00A96742"/>
    <w:rsid w:val="00A978C1"/>
    <w:rsid w:val="00AA0189"/>
    <w:rsid w:val="00AA2C4B"/>
    <w:rsid w:val="00AA30F9"/>
    <w:rsid w:val="00AA34F1"/>
    <w:rsid w:val="00AA45A3"/>
    <w:rsid w:val="00AA4B67"/>
    <w:rsid w:val="00AA682E"/>
    <w:rsid w:val="00AA6AE4"/>
    <w:rsid w:val="00AA6CFD"/>
    <w:rsid w:val="00AB0475"/>
    <w:rsid w:val="00AB0845"/>
    <w:rsid w:val="00AB13F2"/>
    <w:rsid w:val="00AB1607"/>
    <w:rsid w:val="00AB1AA6"/>
    <w:rsid w:val="00AB1C4C"/>
    <w:rsid w:val="00AB4EE3"/>
    <w:rsid w:val="00AB663E"/>
    <w:rsid w:val="00AB73A7"/>
    <w:rsid w:val="00AB7810"/>
    <w:rsid w:val="00AC208B"/>
    <w:rsid w:val="00AC2137"/>
    <w:rsid w:val="00AC3287"/>
    <w:rsid w:val="00AC43EA"/>
    <w:rsid w:val="00AC52E3"/>
    <w:rsid w:val="00AC6CD9"/>
    <w:rsid w:val="00AC7F32"/>
    <w:rsid w:val="00AD256A"/>
    <w:rsid w:val="00AD3E39"/>
    <w:rsid w:val="00AD4E41"/>
    <w:rsid w:val="00AD6EDD"/>
    <w:rsid w:val="00AD74AE"/>
    <w:rsid w:val="00AD7DAF"/>
    <w:rsid w:val="00AE01AB"/>
    <w:rsid w:val="00AE0C14"/>
    <w:rsid w:val="00AE2870"/>
    <w:rsid w:val="00AE4FC5"/>
    <w:rsid w:val="00AE513C"/>
    <w:rsid w:val="00AE7CEA"/>
    <w:rsid w:val="00AF0945"/>
    <w:rsid w:val="00AF09A2"/>
    <w:rsid w:val="00AF20CD"/>
    <w:rsid w:val="00AF486F"/>
    <w:rsid w:val="00AF5112"/>
    <w:rsid w:val="00AF5774"/>
    <w:rsid w:val="00AF5C16"/>
    <w:rsid w:val="00AF6AA5"/>
    <w:rsid w:val="00AF7030"/>
    <w:rsid w:val="00AF77BB"/>
    <w:rsid w:val="00B0013D"/>
    <w:rsid w:val="00B002C3"/>
    <w:rsid w:val="00B01036"/>
    <w:rsid w:val="00B02A16"/>
    <w:rsid w:val="00B03548"/>
    <w:rsid w:val="00B0582D"/>
    <w:rsid w:val="00B0748C"/>
    <w:rsid w:val="00B07806"/>
    <w:rsid w:val="00B078AC"/>
    <w:rsid w:val="00B111DD"/>
    <w:rsid w:val="00B126E7"/>
    <w:rsid w:val="00B13552"/>
    <w:rsid w:val="00B14171"/>
    <w:rsid w:val="00B15B17"/>
    <w:rsid w:val="00B15D4E"/>
    <w:rsid w:val="00B16376"/>
    <w:rsid w:val="00B16823"/>
    <w:rsid w:val="00B20447"/>
    <w:rsid w:val="00B22AEE"/>
    <w:rsid w:val="00B24CF3"/>
    <w:rsid w:val="00B24D58"/>
    <w:rsid w:val="00B24DA7"/>
    <w:rsid w:val="00B255A8"/>
    <w:rsid w:val="00B2674C"/>
    <w:rsid w:val="00B305B1"/>
    <w:rsid w:val="00B30FC6"/>
    <w:rsid w:val="00B32ACD"/>
    <w:rsid w:val="00B32AEC"/>
    <w:rsid w:val="00B32F26"/>
    <w:rsid w:val="00B35A18"/>
    <w:rsid w:val="00B378E2"/>
    <w:rsid w:val="00B37DCC"/>
    <w:rsid w:val="00B40A1D"/>
    <w:rsid w:val="00B41E54"/>
    <w:rsid w:val="00B451DF"/>
    <w:rsid w:val="00B457A3"/>
    <w:rsid w:val="00B45C09"/>
    <w:rsid w:val="00B45D03"/>
    <w:rsid w:val="00B5033E"/>
    <w:rsid w:val="00B50404"/>
    <w:rsid w:val="00B50A71"/>
    <w:rsid w:val="00B50CFC"/>
    <w:rsid w:val="00B5164E"/>
    <w:rsid w:val="00B52288"/>
    <w:rsid w:val="00B5360F"/>
    <w:rsid w:val="00B54258"/>
    <w:rsid w:val="00B56510"/>
    <w:rsid w:val="00B56851"/>
    <w:rsid w:val="00B60775"/>
    <w:rsid w:val="00B610FE"/>
    <w:rsid w:val="00B64611"/>
    <w:rsid w:val="00B659A7"/>
    <w:rsid w:val="00B66312"/>
    <w:rsid w:val="00B67936"/>
    <w:rsid w:val="00B67E80"/>
    <w:rsid w:val="00B705C0"/>
    <w:rsid w:val="00B70917"/>
    <w:rsid w:val="00B70A7B"/>
    <w:rsid w:val="00B70E58"/>
    <w:rsid w:val="00B72A7B"/>
    <w:rsid w:val="00B73EFE"/>
    <w:rsid w:val="00B74550"/>
    <w:rsid w:val="00B7507D"/>
    <w:rsid w:val="00B766E2"/>
    <w:rsid w:val="00B81139"/>
    <w:rsid w:val="00B81F72"/>
    <w:rsid w:val="00B82022"/>
    <w:rsid w:val="00B8482E"/>
    <w:rsid w:val="00B84AD5"/>
    <w:rsid w:val="00B84B0D"/>
    <w:rsid w:val="00B85338"/>
    <w:rsid w:val="00B85AEE"/>
    <w:rsid w:val="00B872EE"/>
    <w:rsid w:val="00B9169E"/>
    <w:rsid w:val="00B91929"/>
    <w:rsid w:val="00B92A30"/>
    <w:rsid w:val="00B93894"/>
    <w:rsid w:val="00BA03B1"/>
    <w:rsid w:val="00BA0A22"/>
    <w:rsid w:val="00BA1108"/>
    <w:rsid w:val="00BA27F8"/>
    <w:rsid w:val="00BA3441"/>
    <w:rsid w:val="00BA404F"/>
    <w:rsid w:val="00BA447E"/>
    <w:rsid w:val="00BA4ABC"/>
    <w:rsid w:val="00BA518F"/>
    <w:rsid w:val="00BA7D85"/>
    <w:rsid w:val="00BB0EFE"/>
    <w:rsid w:val="00BB27C0"/>
    <w:rsid w:val="00BB2E15"/>
    <w:rsid w:val="00BB3100"/>
    <w:rsid w:val="00BB4405"/>
    <w:rsid w:val="00BB44C8"/>
    <w:rsid w:val="00BB57AD"/>
    <w:rsid w:val="00BB5EA0"/>
    <w:rsid w:val="00BB6B83"/>
    <w:rsid w:val="00BB6E46"/>
    <w:rsid w:val="00BB7D7C"/>
    <w:rsid w:val="00BB7EEC"/>
    <w:rsid w:val="00BB7EF7"/>
    <w:rsid w:val="00BC3AC7"/>
    <w:rsid w:val="00BC66A3"/>
    <w:rsid w:val="00BD01DC"/>
    <w:rsid w:val="00BD4761"/>
    <w:rsid w:val="00BD4891"/>
    <w:rsid w:val="00BD61F9"/>
    <w:rsid w:val="00BD700D"/>
    <w:rsid w:val="00BE03F9"/>
    <w:rsid w:val="00BE186A"/>
    <w:rsid w:val="00BE2A94"/>
    <w:rsid w:val="00BE3802"/>
    <w:rsid w:val="00BE41F0"/>
    <w:rsid w:val="00BE5CFF"/>
    <w:rsid w:val="00BE6227"/>
    <w:rsid w:val="00BE6329"/>
    <w:rsid w:val="00BE6505"/>
    <w:rsid w:val="00BE7327"/>
    <w:rsid w:val="00BE7910"/>
    <w:rsid w:val="00BF107F"/>
    <w:rsid w:val="00BF1614"/>
    <w:rsid w:val="00BF223C"/>
    <w:rsid w:val="00BF230A"/>
    <w:rsid w:val="00BF2E9F"/>
    <w:rsid w:val="00BF36FB"/>
    <w:rsid w:val="00BF38CA"/>
    <w:rsid w:val="00BF3987"/>
    <w:rsid w:val="00BF478C"/>
    <w:rsid w:val="00BF5E38"/>
    <w:rsid w:val="00BF6BC5"/>
    <w:rsid w:val="00BF6E2C"/>
    <w:rsid w:val="00C004A7"/>
    <w:rsid w:val="00C00A07"/>
    <w:rsid w:val="00C00FC7"/>
    <w:rsid w:val="00C01255"/>
    <w:rsid w:val="00C01769"/>
    <w:rsid w:val="00C01A2E"/>
    <w:rsid w:val="00C04F02"/>
    <w:rsid w:val="00C06155"/>
    <w:rsid w:val="00C07ACC"/>
    <w:rsid w:val="00C10A8E"/>
    <w:rsid w:val="00C10F7C"/>
    <w:rsid w:val="00C110F7"/>
    <w:rsid w:val="00C116F3"/>
    <w:rsid w:val="00C11D20"/>
    <w:rsid w:val="00C12D02"/>
    <w:rsid w:val="00C15B00"/>
    <w:rsid w:val="00C160F1"/>
    <w:rsid w:val="00C16649"/>
    <w:rsid w:val="00C17172"/>
    <w:rsid w:val="00C2077B"/>
    <w:rsid w:val="00C23706"/>
    <w:rsid w:val="00C23984"/>
    <w:rsid w:val="00C26603"/>
    <w:rsid w:val="00C26F65"/>
    <w:rsid w:val="00C26FA7"/>
    <w:rsid w:val="00C27EAA"/>
    <w:rsid w:val="00C31060"/>
    <w:rsid w:val="00C31474"/>
    <w:rsid w:val="00C31F1D"/>
    <w:rsid w:val="00C32F3B"/>
    <w:rsid w:val="00C338AA"/>
    <w:rsid w:val="00C3517D"/>
    <w:rsid w:val="00C36F93"/>
    <w:rsid w:val="00C4059B"/>
    <w:rsid w:val="00C41A40"/>
    <w:rsid w:val="00C43F14"/>
    <w:rsid w:val="00C4465D"/>
    <w:rsid w:val="00C44A14"/>
    <w:rsid w:val="00C44A41"/>
    <w:rsid w:val="00C45077"/>
    <w:rsid w:val="00C467F0"/>
    <w:rsid w:val="00C47A02"/>
    <w:rsid w:val="00C50FEF"/>
    <w:rsid w:val="00C522C4"/>
    <w:rsid w:val="00C52D64"/>
    <w:rsid w:val="00C53D4F"/>
    <w:rsid w:val="00C54297"/>
    <w:rsid w:val="00C60116"/>
    <w:rsid w:val="00C61BCE"/>
    <w:rsid w:val="00C62E79"/>
    <w:rsid w:val="00C634C9"/>
    <w:rsid w:val="00C635BE"/>
    <w:rsid w:val="00C650F8"/>
    <w:rsid w:val="00C67248"/>
    <w:rsid w:val="00C67685"/>
    <w:rsid w:val="00C67F4C"/>
    <w:rsid w:val="00C701D5"/>
    <w:rsid w:val="00C70DDB"/>
    <w:rsid w:val="00C71F9F"/>
    <w:rsid w:val="00C72742"/>
    <w:rsid w:val="00C72D46"/>
    <w:rsid w:val="00C752E9"/>
    <w:rsid w:val="00C83379"/>
    <w:rsid w:val="00C83C1C"/>
    <w:rsid w:val="00C85D11"/>
    <w:rsid w:val="00C9168B"/>
    <w:rsid w:val="00C917C9"/>
    <w:rsid w:val="00C91F16"/>
    <w:rsid w:val="00C92556"/>
    <w:rsid w:val="00C93DD2"/>
    <w:rsid w:val="00C94707"/>
    <w:rsid w:val="00C96DAF"/>
    <w:rsid w:val="00CA0ABD"/>
    <w:rsid w:val="00CA10D4"/>
    <w:rsid w:val="00CA1485"/>
    <w:rsid w:val="00CA1AD2"/>
    <w:rsid w:val="00CA3025"/>
    <w:rsid w:val="00CA305A"/>
    <w:rsid w:val="00CA3345"/>
    <w:rsid w:val="00CA40C3"/>
    <w:rsid w:val="00CB532C"/>
    <w:rsid w:val="00CB548E"/>
    <w:rsid w:val="00CB5A8E"/>
    <w:rsid w:val="00CB5BBC"/>
    <w:rsid w:val="00CB7848"/>
    <w:rsid w:val="00CC0F90"/>
    <w:rsid w:val="00CC1C31"/>
    <w:rsid w:val="00CC2715"/>
    <w:rsid w:val="00CC2F30"/>
    <w:rsid w:val="00CC33E1"/>
    <w:rsid w:val="00CC443E"/>
    <w:rsid w:val="00CC4F18"/>
    <w:rsid w:val="00CC54B3"/>
    <w:rsid w:val="00CC55FF"/>
    <w:rsid w:val="00CD2B8E"/>
    <w:rsid w:val="00CD33F5"/>
    <w:rsid w:val="00CD4547"/>
    <w:rsid w:val="00CD5D1A"/>
    <w:rsid w:val="00CD7E14"/>
    <w:rsid w:val="00CD7F77"/>
    <w:rsid w:val="00CE2394"/>
    <w:rsid w:val="00CE3027"/>
    <w:rsid w:val="00CE391D"/>
    <w:rsid w:val="00CE3EF7"/>
    <w:rsid w:val="00CE6402"/>
    <w:rsid w:val="00CE6A38"/>
    <w:rsid w:val="00CE787F"/>
    <w:rsid w:val="00CE7CA2"/>
    <w:rsid w:val="00CF16BD"/>
    <w:rsid w:val="00CF2234"/>
    <w:rsid w:val="00CF2583"/>
    <w:rsid w:val="00CF2C2D"/>
    <w:rsid w:val="00CF51E3"/>
    <w:rsid w:val="00CF522A"/>
    <w:rsid w:val="00CF58AA"/>
    <w:rsid w:val="00CF5AB2"/>
    <w:rsid w:val="00CF771F"/>
    <w:rsid w:val="00CF77F9"/>
    <w:rsid w:val="00D0084A"/>
    <w:rsid w:val="00D00B7C"/>
    <w:rsid w:val="00D014E1"/>
    <w:rsid w:val="00D015EE"/>
    <w:rsid w:val="00D02160"/>
    <w:rsid w:val="00D02CEA"/>
    <w:rsid w:val="00D02E3E"/>
    <w:rsid w:val="00D04924"/>
    <w:rsid w:val="00D05A69"/>
    <w:rsid w:val="00D07781"/>
    <w:rsid w:val="00D07D29"/>
    <w:rsid w:val="00D142DC"/>
    <w:rsid w:val="00D15931"/>
    <w:rsid w:val="00D15B95"/>
    <w:rsid w:val="00D16661"/>
    <w:rsid w:val="00D17575"/>
    <w:rsid w:val="00D20647"/>
    <w:rsid w:val="00D20BFA"/>
    <w:rsid w:val="00D2409F"/>
    <w:rsid w:val="00D25E4E"/>
    <w:rsid w:val="00D269E3"/>
    <w:rsid w:val="00D31B31"/>
    <w:rsid w:val="00D31E92"/>
    <w:rsid w:val="00D3233F"/>
    <w:rsid w:val="00D323EE"/>
    <w:rsid w:val="00D3305E"/>
    <w:rsid w:val="00D361D3"/>
    <w:rsid w:val="00D36E41"/>
    <w:rsid w:val="00D374BD"/>
    <w:rsid w:val="00D37EAB"/>
    <w:rsid w:val="00D4057E"/>
    <w:rsid w:val="00D40D10"/>
    <w:rsid w:val="00D417A0"/>
    <w:rsid w:val="00D41A95"/>
    <w:rsid w:val="00D41BF9"/>
    <w:rsid w:val="00D4202D"/>
    <w:rsid w:val="00D44DEF"/>
    <w:rsid w:val="00D459F1"/>
    <w:rsid w:val="00D46FBF"/>
    <w:rsid w:val="00D4760A"/>
    <w:rsid w:val="00D502A3"/>
    <w:rsid w:val="00D52040"/>
    <w:rsid w:val="00D522CE"/>
    <w:rsid w:val="00D52370"/>
    <w:rsid w:val="00D52B5A"/>
    <w:rsid w:val="00D53563"/>
    <w:rsid w:val="00D53B89"/>
    <w:rsid w:val="00D55717"/>
    <w:rsid w:val="00D55799"/>
    <w:rsid w:val="00D55F98"/>
    <w:rsid w:val="00D55FDE"/>
    <w:rsid w:val="00D560F4"/>
    <w:rsid w:val="00D56138"/>
    <w:rsid w:val="00D56C77"/>
    <w:rsid w:val="00D57346"/>
    <w:rsid w:val="00D574F6"/>
    <w:rsid w:val="00D57518"/>
    <w:rsid w:val="00D57D78"/>
    <w:rsid w:val="00D60892"/>
    <w:rsid w:val="00D609F4"/>
    <w:rsid w:val="00D62581"/>
    <w:rsid w:val="00D626CE"/>
    <w:rsid w:val="00D643F0"/>
    <w:rsid w:val="00D6483F"/>
    <w:rsid w:val="00D65D7A"/>
    <w:rsid w:val="00D6738B"/>
    <w:rsid w:val="00D674A9"/>
    <w:rsid w:val="00D717EA"/>
    <w:rsid w:val="00D718CB"/>
    <w:rsid w:val="00D7223C"/>
    <w:rsid w:val="00D729D7"/>
    <w:rsid w:val="00D73B71"/>
    <w:rsid w:val="00D74013"/>
    <w:rsid w:val="00D7617C"/>
    <w:rsid w:val="00D77516"/>
    <w:rsid w:val="00D77E0F"/>
    <w:rsid w:val="00D82555"/>
    <w:rsid w:val="00D82726"/>
    <w:rsid w:val="00D83CE0"/>
    <w:rsid w:val="00D84AF7"/>
    <w:rsid w:val="00D8669C"/>
    <w:rsid w:val="00D86860"/>
    <w:rsid w:val="00D869F6"/>
    <w:rsid w:val="00D86B72"/>
    <w:rsid w:val="00D87D75"/>
    <w:rsid w:val="00D90B02"/>
    <w:rsid w:val="00D913F1"/>
    <w:rsid w:val="00D9169E"/>
    <w:rsid w:val="00D9169F"/>
    <w:rsid w:val="00D94AA7"/>
    <w:rsid w:val="00D95D2F"/>
    <w:rsid w:val="00D966DC"/>
    <w:rsid w:val="00D96845"/>
    <w:rsid w:val="00D9793F"/>
    <w:rsid w:val="00D97CBF"/>
    <w:rsid w:val="00DA0545"/>
    <w:rsid w:val="00DA07E2"/>
    <w:rsid w:val="00DA2056"/>
    <w:rsid w:val="00DA247F"/>
    <w:rsid w:val="00DA25C2"/>
    <w:rsid w:val="00DA2D64"/>
    <w:rsid w:val="00DA5393"/>
    <w:rsid w:val="00DA55F8"/>
    <w:rsid w:val="00DA615A"/>
    <w:rsid w:val="00DA6319"/>
    <w:rsid w:val="00DA6745"/>
    <w:rsid w:val="00DA69A5"/>
    <w:rsid w:val="00DA779B"/>
    <w:rsid w:val="00DB0C7E"/>
    <w:rsid w:val="00DB262E"/>
    <w:rsid w:val="00DB34FB"/>
    <w:rsid w:val="00DB4986"/>
    <w:rsid w:val="00DB4C5F"/>
    <w:rsid w:val="00DB6691"/>
    <w:rsid w:val="00DB6EBE"/>
    <w:rsid w:val="00DB725E"/>
    <w:rsid w:val="00DB76E2"/>
    <w:rsid w:val="00DC0F7A"/>
    <w:rsid w:val="00DC1791"/>
    <w:rsid w:val="00DC4E5E"/>
    <w:rsid w:val="00DC5624"/>
    <w:rsid w:val="00DC6AA1"/>
    <w:rsid w:val="00DC6DA5"/>
    <w:rsid w:val="00DC70AC"/>
    <w:rsid w:val="00DD1C83"/>
    <w:rsid w:val="00DD1E5E"/>
    <w:rsid w:val="00DD2538"/>
    <w:rsid w:val="00DD25DA"/>
    <w:rsid w:val="00DD2E9F"/>
    <w:rsid w:val="00DD2F3F"/>
    <w:rsid w:val="00DD4CF1"/>
    <w:rsid w:val="00DD6326"/>
    <w:rsid w:val="00DD7307"/>
    <w:rsid w:val="00DD7D55"/>
    <w:rsid w:val="00DD7F33"/>
    <w:rsid w:val="00DE05D1"/>
    <w:rsid w:val="00DE0B5D"/>
    <w:rsid w:val="00DE1604"/>
    <w:rsid w:val="00DE1B98"/>
    <w:rsid w:val="00DE1EAC"/>
    <w:rsid w:val="00DE2A2D"/>
    <w:rsid w:val="00DE4C0C"/>
    <w:rsid w:val="00DE677B"/>
    <w:rsid w:val="00DF03AA"/>
    <w:rsid w:val="00DF079C"/>
    <w:rsid w:val="00DF147B"/>
    <w:rsid w:val="00DF2688"/>
    <w:rsid w:val="00DF2EEF"/>
    <w:rsid w:val="00DF303C"/>
    <w:rsid w:val="00DF3DC6"/>
    <w:rsid w:val="00DF4ED4"/>
    <w:rsid w:val="00DF4FBA"/>
    <w:rsid w:val="00DF5EE2"/>
    <w:rsid w:val="00DF72DC"/>
    <w:rsid w:val="00DF767C"/>
    <w:rsid w:val="00E00E51"/>
    <w:rsid w:val="00E02F23"/>
    <w:rsid w:val="00E03EEA"/>
    <w:rsid w:val="00E0520D"/>
    <w:rsid w:val="00E116F9"/>
    <w:rsid w:val="00E121B3"/>
    <w:rsid w:val="00E12A16"/>
    <w:rsid w:val="00E13311"/>
    <w:rsid w:val="00E162CC"/>
    <w:rsid w:val="00E1644A"/>
    <w:rsid w:val="00E17092"/>
    <w:rsid w:val="00E206E6"/>
    <w:rsid w:val="00E2095F"/>
    <w:rsid w:val="00E218D8"/>
    <w:rsid w:val="00E22246"/>
    <w:rsid w:val="00E225BF"/>
    <w:rsid w:val="00E232BF"/>
    <w:rsid w:val="00E232E1"/>
    <w:rsid w:val="00E243D2"/>
    <w:rsid w:val="00E24438"/>
    <w:rsid w:val="00E24BA9"/>
    <w:rsid w:val="00E251C6"/>
    <w:rsid w:val="00E2602F"/>
    <w:rsid w:val="00E268A1"/>
    <w:rsid w:val="00E272A4"/>
    <w:rsid w:val="00E273C4"/>
    <w:rsid w:val="00E304C2"/>
    <w:rsid w:val="00E31ABC"/>
    <w:rsid w:val="00E32905"/>
    <w:rsid w:val="00E33961"/>
    <w:rsid w:val="00E33EE4"/>
    <w:rsid w:val="00E364B8"/>
    <w:rsid w:val="00E375FB"/>
    <w:rsid w:val="00E3786E"/>
    <w:rsid w:val="00E429DB"/>
    <w:rsid w:val="00E43CC4"/>
    <w:rsid w:val="00E44386"/>
    <w:rsid w:val="00E45776"/>
    <w:rsid w:val="00E46028"/>
    <w:rsid w:val="00E46CF0"/>
    <w:rsid w:val="00E474D6"/>
    <w:rsid w:val="00E5048E"/>
    <w:rsid w:val="00E50949"/>
    <w:rsid w:val="00E521A2"/>
    <w:rsid w:val="00E54103"/>
    <w:rsid w:val="00E55EF4"/>
    <w:rsid w:val="00E56009"/>
    <w:rsid w:val="00E56590"/>
    <w:rsid w:val="00E57796"/>
    <w:rsid w:val="00E62BC3"/>
    <w:rsid w:val="00E631F5"/>
    <w:rsid w:val="00E63AE0"/>
    <w:rsid w:val="00E63E18"/>
    <w:rsid w:val="00E64E70"/>
    <w:rsid w:val="00E663D1"/>
    <w:rsid w:val="00E671E1"/>
    <w:rsid w:val="00E67394"/>
    <w:rsid w:val="00E6767C"/>
    <w:rsid w:val="00E7014C"/>
    <w:rsid w:val="00E70510"/>
    <w:rsid w:val="00E70AEC"/>
    <w:rsid w:val="00E7132A"/>
    <w:rsid w:val="00E71BFD"/>
    <w:rsid w:val="00E758D4"/>
    <w:rsid w:val="00E75EA0"/>
    <w:rsid w:val="00E8357B"/>
    <w:rsid w:val="00E86B72"/>
    <w:rsid w:val="00E8736A"/>
    <w:rsid w:val="00E87410"/>
    <w:rsid w:val="00E87957"/>
    <w:rsid w:val="00E879CE"/>
    <w:rsid w:val="00E9082C"/>
    <w:rsid w:val="00E90BF2"/>
    <w:rsid w:val="00E93869"/>
    <w:rsid w:val="00E93B4D"/>
    <w:rsid w:val="00E93DDC"/>
    <w:rsid w:val="00EA05C4"/>
    <w:rsid w:val="00EA17DF"/>
    <w:rsid w:val="00EA252F"/>
    <w:rsid w:val="00EA2D45"/>
    <w:rsid w:val="00EA40CE"/>
    <w:rsid w:val="00EA496E"/>
    <w:rsid w:val="00EA4AD2"/>
    <w:rsid w:val="00EA5397"/>
    <w:rsid w:val="00EA5B30"/>
    <w:rsid w:val="00EA7747"/>
    <w:rsid w:val="00EB10B5"/>
    <w:rsid w:val="00EB13D3"/>
    <w:rsid w:val="00EB2FBB"/>
    <w:rsid w:val="00EB428C"/>
    <w:rsid w:val="00EB5680"/>
    <w:rsid w:val="00EB5E6E"/>
    <w:rsid w:val="00EB63F0"/>
    <w:rsid w:val="00EB757A"/>
    <w:rsid w:val="00EC1973"/>
    <w:rsid w:val="00EC1C55"/>
    <w:rsid w:val="00EC1EDB"/>
    <w:rsid w:val="00EC3DE2"/>
    <w:rsid w:val="00EC3F3F"/>
    <w:rsid w:val="00EC4685"/>
    <w:rsid w:val="00EC4BBE"/>
    <w:rsid w:val="00EC5161"/>
    <w:rsid w:val="00EC5A54"/>
    <w:rsid w:val="00EC5AD3"/>
    <w:rsid w:val="00EC62E8"/>
    <w:rsid w:val="00EC693F"/>
    <w:rsid w:val="00ED05D2"/>
    <w:rsid w:val="00ED07E5"/>
    <w:rsid w:val="00ED1223"/>
    <w:rsid w:val="00ED181F"/>
    <w:rsid w:val="00ED261C"/>
    <w:rsid w:val="00ED2E42"/>
    <w:rsid w:val="00ED50AD"/>
    <w:rsid w:val="00ED538E"/>
    <w:rsid w:val="00ED56EB"/>
    <w:rsid w:val="00ED5A30"/>
    <w:rsid w:val="00ED5FA1"/>
    <w:rsid w:val="00ED7215"/>
    <w:rsid w:val="00EE040E"/>
    <w:rsid w:val="00EE1EE3"/>
    <w:rsid w:val="00EE413C"/>
    <w:rsid w:val="00EE4DC2"/>
    <w:rsid w:val="00EE4EE7"/>
    <w:rsid w:val="00EE76DC"/>
    <w:rsid w:val="00EF1ABB"/>
    <w:rsid w:val="00EF1C8F"/>
    <w:rsid w:val="00EF1EB9"/>
    <w:rsid w:val="00EF1EED"/>
    <w:rsid w:val="00EF1F19"/>
    <w:rsid w:val="00EF2F24"/>
    <w:rsid w:val="00EF4067"/>
    <w:rsid w:val="00EF45C5"/>
    <w:rsid w:val="00EF5D46"/>
    <w:rsid w:val="00EF7BDA"/>
    <w:rsid w:val="00F02581"/>
    <w:rsid w:val="00F04CD8"/>
    <w:rsid w:val="00F05476"/>
    <w:rsid w:val="00F101D8"/>
    <w:rsid w:val="00F13888"/>
    <w:rsid w:val="00F141BB"/>
    <w:rsid w:val="00F142BF"/>
    <w:rsid w:val="00F152E3"/>
    <w:rsid w:val="00F15B12"/>
    <w:rsid w:val="00F16687"/>
    <w:rsid w:val="00F20452"/>
    <w:rsid w:val="00F209DA"/>
    <w:rsid w:val="00F20F45"/>
    <w:rsid w:val="00F21AD4"/>
    <w:rsid w:val="00F2251B"/>
    <w:rsid w:val="00F234CE"/>
    <w:rsid w:val="00F237B7"/>
    <w:rsid w:val="00F23AFA"/>
    <w:rsid w:val="00F24EDE"/>
    <w:rsid w:val="00F266B4"/>
    <w:rsid w:val="00F27D67"/>
    <w:rsid w:val="00F30783"/>
    <w:rsid w:val="00F309EE"/>
    <w:rsid w:val="00F31286"/>
    <w:rsid w:val="00F3130A"/>
    <w:rsid w:val="00F31CD2"/>
    <w:rsid w:val="00F33A0A"/>
    <w:rsid w:val="00F363B3"/>
    <w:rsid w:val="00F42854"/>
    <w:rsid w:val="00F4351E"/>
    <w:rsid w:val="00F44011"/>
    <w:rsid w:val="00F460EC"/>
    <w:rsid w:val="00F503C8"/>
    <w:rsid w:val="00F50758"/>
    <w:rsid w:val="00F5152B"/>
    <w:rsid w:val="00F52DC8"/>
    <w:rsid w:val="00F53D93"/>
    <w:rsid w:val="00F5414D"/>
    <w:rsid w:val="00F54436"/>
    <w:rsid w:val="00F547E8"/>
    <w:rsid w:val="00F55606"/>
    <w:rsid w:val="00F55A4E"/>
    <w:rsid w:val="00F55A8A"/>
    <w:rsid w:val="00F601F7"/>
    <w:rsid w:val="00F60438"/>
    <w:rsid w:val="00F60A5E"/>
    <w:rsid w:val="00F612F7"/>
    <w:rsid w:val="00F62A36"/>
    <w:rsid w:val="00F6322F"/>
    <w:rsid w:val="00F64312"/>
    <w:rsid w:val="00F655D3"/>
    <w:rsid w:val="00F65C58"/>
    <w:rsid w:val="00F65D14"/>
    <w:rsid w:val="00F67715"/>
    <w:rsid w:val="00F74019"/>
    <w:rsid w:val="00F74B27"/>
    <w:rsid w:val="00F763D9"/>
    <w:rsid w:val="00F800B4"/>
    <w:rsid w:val="00F80721"/>
    <w:rsid w:val="00F811FE"/>
    <w:rsid w:val="00F82145"/>
    <w:rsid w:val="00F82A9D"/>
    <w:rsid w:val="00F83C73"/>
    <w:rsid w:val="00F85243"/>
    <w:rsid w:val="00F85951"/>
    <w:rsid w:val="00F85B2A"/>
    <w:rsid w:val="00F864DE"/>
    <w:rsid w:val="00F902EB"/>
    <w:rsid w:val="00F9174D"/>
    <w:rsid w:val="00F93717"/>
    <w:rsid w:val="00F93C3D"/>
    <w:rsid w:val="00F96387"/>
    <w:rsid w:val="00F96FDD"/>
    <w:rsid w:val="00FA01B9"/>
    <w:rsid w:val="00FA13AA"/>
    <w:rsid w:val="00FA1D3A"/>
    <w:rsid w:val="00FA2CF6"/>
    <w:rsid w:val="00FA53C7"/>
    <w:rsid w:val="00FA5A19"/>
    <w:rsid w:val="00FA7973"/>
    <w:rsid w:val="00FA7A8D"/>
    <w:rsid w:val="00FB08C2"/>
    <w:rsid w:val="00FB280A"/>
    <w:rsid w:val="00FB29CC"/>
    <w:rsid w:val="00FC078F"/>
    <w:rsid w:val="00FC0ABB"/>
    <w:rsid w:val="00FC1C40"/>
    <w:rsid w:val="00FC2AC4"/>
    <w:rsid w:val="00FC4591"/>
    <w:rsid w:val="00FC602B"/>
    <w:rsid w:val="00FC6C9A"/>
    <w:rsid w:val="00FD1DBB"/>
    <w:rsid w:val="00FD4079"/>
    <w:rsid w:val="00FD5F6D"/>
    <w:rsid w:val="00FD7932"/>
    <w:rsid w:val="00FD7A2A"/>
    <w:rsid w:val="00FE05FF"/>
    <w:rsid w:val="00FE16CD"/>
    <w:rsid w:val="00FE1E00"/>
    <w:rsid w:val="00FE252E"/>
    <w:rsid w:val="00FE2E79"/>
    <w:rsid w:val="00FE444E"/>
    <w:rsid w:val="00FE55D8"/>
    <w:rsid w:val="00FF1345"/>
    <w:rsid w:val="00FF27D4"/>
    <w:rsid w:val="00FF2E87"/>
    <w:rsid w:val="00FF47ED"/>
    <w:rsid w:val="00FF5514"/>
    <w:rsid w:val="00FF66E6"/>
    <w:rsid w:val="00FF685C"/>
    <w:rsid w:val="00FF7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4864384"/>
  <w15:docId w15:val="{B74FB50E-63E7-4384-9C8C-B49DB7A7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777321"/>
    <w:pPr>
      <w:spacing w:before="100" w:after="200" w:line="300" w:lineRule="exact"/>
    </w:pPr>
    <w:rPr>
      <w:rFonts w:ascii="Arial" w:hAnsi="Arial"/>
      <w:color w:val="323232"/>
      <w:sz w:val="22"/>
      <w:szCs w:val="24"/>
      <w:lang w:eastAsia="en-US"/>
    </w:rPr>
  </w:style>
  <w:style w:type="paragraph" w:styleId="Heading1">
    <w:name w:val="heading 1"/>
    <w:basedOn w:val="Normal"/>
    <w:next w:val="Normal"/>
    <w:link w:val="Heading1Char"/>
    <w:uiPriority w:val="9"/>
    <w:qFormat/>
    <w:rsid w:val="0023449C"/>
    <w:pPr>
      <w:keepNext/>
      <w:tabs>
        <w:tab w:val="left" w:pos="1425"/>
      </w:tabs>
      <w:suppressAutoHyphens/>
      <w:spacing w:before="0" w:after="0" w:line="400" w:lineRule="exact"/>
      <w:outlineLvl w:val="0"/>
    </w:pPr>
    <w:rPr>
      <w:color w:val="00AEFF"/>
      <w:kern w:val="32"/>
      <w:sz w:val="40"/>
      <w:szCs w:val="32"/>
    </w:rPr>
  </w:style>
  <w:style w:type="paragraph" w:styleId="Heading2">
    <w:name w:val="heading 2"/>
    <w:basedOn w:val="Normal"/>
    <w:next w:val="Normal"/>
    <w:link w:val="Heading2Char"/>
    <w:uiPriority w:val="9"/>
    <w:qFormat/>
    <w:rsid w:val="00053FB4"/>
    <w:pPr>
      <w:keepNext/>
      <w:spacing w:before="240" w:after="0"/>
      <w:ind w:left="238" w:firstLine="964"/>
      <w:outlineLvl w:val="1"/>
    </w:pPr>
    <w:rPr>
      <w:color w:val="0066FF"/>
      <w:sz w:val="28"/>
      <w:szCs w:val="28"/>
    </w:rPr>
  </w:style>
  <w:style w:type="paragraph" w:styleId="Heading3">
    <w:name w:val="heading 3"/>
    <w:basedOn w:val="Normal"/>
    <w:next w:val="Normal"/>
    <w:link w:val="Heading3Char"/>
    <w:uiPriority w:val="9"/>
    <w:qFormat/>
    <w:rsid w:val="00C00A07"/>
    <w:pPr>
      <w:keepNext/>
      <w:spacing w:before="200" w:after="0"/>
      <w:ind w:left="1202"/>
      <w:outlineLvl w:val="2"/>
    </w:pPr>
    <w:rPr>
      <w:rFonts w:cs="Arial"/>
      <w:color w:val="0066FF"/>
      <w:szCs w:val="26"/>
    </w:rPr>
  </w:style>
  <w:style w:type="paragraph" w:styleId="Heading4">
    <w:name w:val="heading 4"/>
    <w:basedOn w:val="Heading5"/>
    <w:next w:val="Normal"/>
    <w:rsid w:val="00777321"/>
    <w:pPr>
      <w:numPr>
        <w:ilvl w:val="0"/>
      </w:numPr>
      <w:outlineLvl w:val="3"/>
    </w:pPr>
  </w:style>
  <w:style w:type="paragraph" w:styleId="Heading5">
    <w:name w:val="heading 5"/>
    <w:basedOn w:val="Normal"/>
    <w:next w:val="Normal"/>
    <w:rsid w:val="00777321"/>
    <w:pPr>
      <w:numPr>
        <w:ilvl w:val="1"/>
        <w:numId w:val="2"/>
      </w:numPr>
      <w:outlineLvl w:val="4"/>
    </w:pPr>
  </w:style>
  <w:style w:type="paragraph" w:styleId="Heading6">
    <w:name w:val="heading 6"/>
    <w:basedOn w:val="Normal"/>
    <w:next w:val="Normal"/>
    <w:rsid w:val="00500539"/>
    <w:pPr>
      <w:outlineLvl w:val="5"/>
    </w:pPr>
  </w:style>
  <w:style w:type="paragraph" w:styleId="Heading7">
    <w:name w:val="heading 7"/>
    <w:basedOn w:val="Heading6"/>
    <w:next w:val="Normal"/>
    <w:rsid w:val="00500539"/>
    <w:pPr>
      <w:outlineLvl w:val="6"/>
    </w:pPr>
  </w:style>
  <w:style w:type="paragraph" w:styleId="Heading8">
    <w:name w:val="heading 8"/>
    <w:basedOn w:val="Heading7"/>
    <w:next w:val="Normal"/>
    <w:rsid w:val="00500539"/>
    <w:pPr>
      <w:outlineLvl w:val="7"/>
    </w:pPr>
  </w:style>
  <w:style w:type="paragraph" w:styleId="Heading9">
    <w:name w:val="heading 9"/>
    <w:basedOn w:val="Heading8"/>
    <w:next w:val="Normal"/>
    <w:rsid w:val="005005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rsid w:val="00D90C08"/>
    <w:pPr>
      <w:spacing w:before="0" w:line="400" w:lineRule="exact"/>
    </w:pPr>
    <w:rPr>
      <w:color w:val="969696"/>
      <w:sz w:val="30"/>
    </w:rPr>
  </w:style>
  <w:style w:type="paragraph" w:styleId="Footer">
    <w:name w:val="footer"/>
    <w:basedOn w:val="Normal"/>
    <w:link w:val="FooterChar"/>
    <w:semiHidden/>
    <w:rsid w:val="00624706"/>
    <w:pPr>
      <w:tabs>
        <w:tab w:val="center" w:pos="4320"/>
        <w:tab w:val="right" w:pos="8640"/>
      </w:tabs>
    </w:pPr>
  </w:style>
  <w:style w:type="paragraph" w:customStyle="1" w:styleId="CalltoAction">
    <w:name w:val="Call to Action"/>
    <w:basedOn w:val="Normal"/>
    <w:rsid w:val="00D90C08"/>
    <w:pPr>
      <w:ind w:left="800" w:right="800"/>
      <w:jc w:val="center"/>
    </w:pPr>
    <w:rPr>
      <w:rFonts w:ascii="Arial Bold" w:hAnsi="Arial Bold"/>
      <w:b/>
      <w:color w:val="00A8EC"/>
    </w:rPr>
  </w:style>
  <w:style w:type="numbering" w:customStyle="1" w:styleId="BulletedList">
    <w:name w:val="Bulleted List"/>
    <w:basedOn w:val="NoList"/>
    <w:rsid w:val="00777321"/>
    <w:pPr>
      <w:numPr>
        <w:numId w:val="3"/>
      </w:numPr>
    </w:pPr>
  </w:style>
  <w:style w:type="numbering" w:customStyle="1" w:styleId="NumberedList">
    <w:name w:val="Numbered List"/>
    <w:basedOn w:val="NoList"/>
    <w:rsid w:val="00777321"/>
    <w:pPr>
      <w:numPr>
        <w:numId w:val="1"/>
      </w:numPr>
    </w:pPr>
  </w:style>
  <w:style w:type="paragraph" w:customStyle="1" w:styleId="Level3">
    <w:name w:val="Level 3"/>
    <w:basedOn w:val="Normal"/>
    <w:rsid w:val="00176D2C"/>
    <w:pPr>
      <w:numPr>
        <w:numId w:val="6"/>
      </w:numPr>
      <w:spacing w:before="200"/>
      <w:ind w:left="1491" w:hanging="357"/>
    </w:pPr>
  </w:style>
  <w:style w:type="paragraph" w:customStyle="1" w:styleId="Level2">
    <w:name w:val="Level 2"/>
    <w:basedOn w:val="Heading2"/>
    <w:link w:val="Level2Char"/>
    <w:rsid w:val="00176D2C"/>
    <w:pPr>
      <w:numPr>
        <w:ilvl w:val="1"/>
        <w:numId w:val="5"/>
      </w:numPr>
      <w:spacing w:before="200" w:after="200"/>
    </w:pPr>
    <w:rPr>
      <w:color w:val="323232"/>
      <w:sz w:val="22"/>
    </w:rPr>
  </w:style>
  <w:style w:type="paragraph" w:customStyle="1" w:styleId="Level1">
    <w:name w:val="Level 1"/>
    <w:basedOn w:val="Heading1"/>
    <w:next w:val="Level2"/>
    <w:rsid w:val="00CD4547"/>
    <w:pPr>
      <w:numPr>
        <w:numId w:val="5"/>
      </w:numPr>
      <w:spacing w:before="400" w:line="300" w:lineRule="exact"/>
    </w:pPr>
    <w:rPr>
      <w:color w:val="0074E1"/>
      <w:sz w:val="30"/>
    </w:rPr>
  </w:style>
  <w:style w:type="paragraph" w:styleId="ListParagraph">
    <w:name w:val="List Paragraph"/>
    <w:basedOn w:val="Normal"/>
    <w:link w:val="ListParagraphChar"/>
    <w:uiPriority w:val="34"/>
    <w:qFormat/>
    <w:rsid w:val="002C675C"/>
    <w:pPr>
      <w:spacing w:before="0" w:after="0" w:line="240" w:lineRule="auto"/>
      <w:ind w:left="720"/>
    </w:pPr>
    <w:rPr>
      <w:rFonts w:ascii="Calibri" w:eastAsia="Calibri" w:hAnsi="Calibri"/>
      <w:color w:val="auto"/>
      <w:szCs w:val="22"/>
      <w:lang w:eastAsia="en-GB"/>
    </w:rPr>
  </w:style>
  <w:style w:type="character" w:styleId="Hyperlink">
    <w:name w:val="Hyperlink"/>
    <w:uiPriority w:val="99"/>
    <w:rsid w:val="00777321"/>
    <w:rPr>
      <w:color w:val="00A8EC"/>
    </w:rPr>
  </w:style>
  <w:style w:type="paragraph" w:styleId="Header">
    <w:name w:val="header"/>
    <w:basedOn w:val="Normal"/>
    <w:rsid w:val="00777321"/>
    <w:pPr>
      <w:spacing w:before="0" w:after="0" w:line="200" w:lineRule="exact"/>
    </w:pPr>
    <w:rPr>
      <w:color w:val="003F8F"/>
      <w:sz w:val="18"/>
    </w:rPr>
  </w:style>
  <w:style w:type="paragraph" w:customStyle="1" w:styleId="BasicParagraph">
    <w:name w:val="[Basic Paragraph]"/>
    <w:basedOn w:val="Normal"/>
    <w:rsid w:val="00777321"/>
    <w:pPr>
      <w:widowControl w:val="0"/>
      <w:autoSpaceDE w:val="0"/>
      <w:autoSpaceDN w:val="0"/>
      <w:adjustRightInd w:val="0"/>
      <w:spacing w:before="0" w:after="0" w:line="288" w:lineRule="auto"/>
      <w:textAlignment w:val="center"/>
    </w:pPr>
    <w:rPr>
      <w:rFonts w:ascii="Times-Roman" w:hAnsi="Times-Roman"/>
      <w:color w:val="000000"/>
      <w:sz w:val="24"/>
      <w:lang w:val="en-US"/>
    </w:rPr>
  </w:style>
  <w:style w:type="character" w:styleId="PageNumber">
    <w:name w:val="page number"/>
    <w:basedOn w:val="DefaultParagraphFont"/>
    <w:rsid w:val="00777321"/>
  </w:style>
  <w:style w:type="character" w:styleId="FollowedHyperlink">
    <w:name w:val="FollowedHyperlink"/>
    <w:uiPriority w:val="99"/>
    <w:rsid w:val="00777321"/>
    <w:rPr>
      <w:color w:val="800080"/>
      <w:u w:val="single"/>
    </w:rPr>
  </w:style>
  <w:style w:type="paragraph" w:styleId="NormalWeb">
    <w:name w:val="Normal (Web)"/>
    <w:basedOn w:val="Normal"/>
    <w:uiPriority w:val="99"/>
    <w:rsid w:val="00305BA8"/>
    <w:pPr>
      <w:spacing w:beforeAutospacing="1" w:after="100" w:afterAutospacing="1" w:line="240" w:lineRule="auto"/>
    </w:pPr>
    <w:rPr>
      <w:rFonts w:ascii="Arial Unicode MS" w:eastAsia="Arial Unicode MS" w:hAnsi="Arial Unicode MS" w:cs="Arial Unicode MS"/>
      <w:color w:val="auto"/>
      <w:sz w:val="19"/>
      <w:szCs w:val="19"/>
    </w:rPr>
  </w:style>
  <w:style w:type="paragraph" w:styleId="BodyTextIndent">
    <w:name w:val="Body Text Indent"/>
    <w:basedOn w:val="Normal"/>
    <w:rsid w:val="00305BA8"/>
    <w:pPr>
      <w:spacing w:before="0" w:after="0" w:line="240" w:lineRule="auto"/>
      <w:ind w:firstLine="540"/>
    </w:pPr>
    <w:rPr>
      <w:rFonts w:cs="Arial"/>
      <w:color w:val="000000"/>
      <w:lang w:val="en-US"/>
    </w:rPr>
  </w:style>
  <w:style w:type="paragraph" w:styleId="TOC3">
    <w:name w:val="toc 3"/>
    <w:basedOn w:val="Normal"/>
    <w:next w:val="Normal"/>
    <w:autoRedefine/>
    <w:uiPriority w:val="39"/>
    <w:qFormat/>
    <w:rsid w:val="008C6033"/>
    <w:pPr>
      <w:spacing w:after="0"/>
    </w:pPr>
  </w:style>
  <w:style w:type="paragraph" w:styleId="TOC2">
    <w:name w:val="toc 2"/>
    <w:basedOn w:val="Normal"/>
    <w:next w:val="Normal"/>
    <w:autoRedefine/>
    <w:uiPriority w:val="39"/>
    <w:qFormat/>
    <w:rsid w:val="00DE05D1"/>
    <w:pPr>
      <w:spacing w:after="0"/>
    </w:pPr>
    <w:rPr>
      <w:color w:val="262626" w:themeColor="text1" w:themeTint="D9"/>
    </w:rPr>
  </w:style>
  <w:style w:type="paragraph" w:styleId="TableofFigures">
    <w:name w:val="table of figures"/>
    <w:basedOn w:val="Normal"/>
    <w:next w:val="Normal"/>
    <w:rsid w:val="00305BA8"/>
    <w:pPr>
      <w:ind w:left="440" w:hanging="440"/>
    </w:pPr>
  </w:style>
  <w:style w:type="paragraph" w:styleId="TOC1">
    <w:name w:val="toc 1"/>
    <w:basedOn w:val="Normal"/>
    <w:next w:val="Normal"/>
    <w:autoRedefine/>
    <w:uiPriority w:val="39"/>
    <w:qFormat/>
    <w:rsid w:val="00EA7747"/>
    <w:pPr>
      <w:tabs>
        <w:tab w:val="left" w:pos="709"/>
        <w:tab w:val="left" w:pos="1760"/>
        <w:tab w:val="right" w:leader="dot" w:pos="9890"/>
      </w:tabs>
      <w:spacing w:before="200" w:after="0" w:line="400" w:lineRule="exact"/>
      <w:ind w:left="709" w:hanging="709"/>
    </w:pPr>
    <w:rPr>
      <w:rFonts w:cs="Arial"/>
      <w:b/>
      <w:noProof/>
      <w:color w:val="0074E1"/>
      <w:szCs w:val="22"/>
    </w:rPr>
  </w:style>
  <w:style w:type="paragraph" w:styleId="TOC4">
    <w:name w:val="toc 4"/>
    <w:basedOn w:val="Normal"/>
    <w:next w:val="Normal"/>
    <w:autoRedefine/>
    <w:uiPriority w:val="39"/>
    <w:rsid w:val="00305BA8"/>
    <w:pPr>
      <w:spacing w:after="0"/>
      <w:ind w:left="600" w:right="600"/>
    </w:pPr>
  </w:style>
  <w:style w:type="paragraph" w:styleId="TOC5">
    <w:name w:val="toc 5"/>
    <w:basedOn w:val="Normal"/>
    <w:next w:val="Normal"/>
    <w:autoRedefine/>
    <w:uiPriority w:val="39"/>
    <w:rsid w:val="00305BA8"/>
    <w:pPr>
      <w:ind w:left="880"/>
    </w:pPr>
  </w:style>
  <w:style w:type="paragraph" w:styleId="TOC6">
    <w:name w:val="toc 6"/>
    <w:basedOn w:val="Normal"/>
    <w:next w:val="Normal"/>
    <w:autoRedefine/>
    <w:uiPriority w:val="39"/>
    <w:rsid w:val="00305BA8"/>
    <w:pPr>
      <w:ind w:left="1100"/>
    </w:pPr>
  </w:style>
  <w:style w:type="paragraph" w:styleId="TOC7">
    <w:name w:val="toc 7"/>
    <w:basedOn w:val="Normal"/>
    <w:next w:val="Normal"/>
    <w:autoRedefine/>
    <w:uiPriority w:val="39"/>
    <w:rsid w:val="00305BA8"/>
    <w:pPr>
      <w:ind w:left="1320"/>
    </w:pPr>
  </w:style>
  <w:style w:type="paragraph" w:styleId="TOC8">
    <w:name w:val="toc 8"/>
    <w:basedOn w:val="Normal"/>
    <w:next w:val="Normal"/>
    <w:autoRedefine/>
    <w:uiPriority w:val="39"/>
    <w:rsid w:val="00305BA8"/>
    <w:pPr>
      <w:ind w:left="1540"/>
    </w:pPr>
  </w:style>
  <w:style w:type="paragraph" w:styleId="TOC9">
    <w:name w:val="toc 9"/>
    <w:basedOn w:val="Normal"/>
    <w:next w:val="Normal"/>
    <w:autoRedefine/>
    <w:uiPriority w:val="39"/>
    <w:rsid w:val="00305BA8"/>
    <w:pPr>
      <w:ind w:left="1760"/>
    </w:pPr>
  </w:style>
  <w:style w:type="table" w:styleId="TableGrid">
    <w:name w:val="Table Grid"/>
    <w:basedOn w:val="TableNormal"/>
    <w:uiPriority w:val="59"/>
    <w:rsid w:val="005B1FDE"/>
    <w:pPr>
      <w:spacing w:before="100" w:after="200"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41FA3"/>
    <w:pPr>
      <w:keepLines/>
      <w:suppressAutoHyphens w:val="0"/>
      <w:spacing w:before="480" w:line="276" w:lineRule="auto"/>
      <w:outlineLvl w:val="9"/>
    </w:pPr>
    <w:rPr>
      <w:rFonts w:ascii="Cambria" w:hAnsi="Cambria"/>
      <w:b/>
      <w:bCs/>
      <w:color w:val="365F91"/>
      <w:kern w:val="0"/>
      <w:sz w:val="28"/>
      <w:szCs w:val="28"/>
      <w:lang w:val="en-US"/>
    </w:rPr>
  </w:style>
  <w:style w:type="paragraph" w:customStyle="1" w:styleId="Introductiontext">
    <w:name w:val="Introduction text"/>
    <w:basedOn w:val="Normal"/>
    <w:link w:val="IntroductiontextChar"/>
    <w:qFormat/>
    <w:rsid w:val="001745BE"/>
    <w:pPr>
      <w:spacing w:after="400" w:line="400" w:lineRule="exact"/>
    </w:pPr>
    <w:rPr>
      <w:b/>
      <w:color w:val="808080"/>
      <w:kern w:val="32"/>
      <w:sz w:val="26"/>
      <w:szCs w:val="26"/>
    </w:rPr>
  </w:style>
  <w:style w:type="paragraph" w:styleId="BalloonText">
    <w:name w:val="Balloon Text"/>
    <w:basedOn w:val="Normal"/>
    <w:link w:val="BalloonTextChar"/>
    <w:uiPriority w:val="99"/>
    <w:semiHidden/>
    <w:unhideWhenUsed/>
    <w:rsid w:val="001745BE"/>
    <w:pPr>
      <w:spacing w:before="0" w:after="0" w:line="240" w:lineRule="auto"/>
    </w:pPr>
    <w:rPr>
      <w:rFonts w:ascii="Tahoma" w:hAnsi="Tahoma"/>
      <w:sz w:val="16"/>
      <w:szCs w:val="16"/>
    </w:rPr>
  </w:style>
  <w:style w:type="character" w:customStyle="1" w:styleId="Heading1Char">
    <w:name w:val="Heading 1 Char"/>
    <w:link w:val="Heading1"/>
    <w:uiPriority w:val="9"/>
    <w:rsid w:val="0023449C"/>
    <w:rPr>
      <w:rFonts w:ascii="Arial" w:hAnsi="Arial"/>
      <w:color w:val="00AEFF"/>
      <w:kern w:val="32"/>
      <w:sz w:val="40"/>
      <w:szCs w:val="32"/>
      <w:lang w:eastAsia="en-US"/>
    </w:rPr>
  </w:style>
  <w:style w:type="character" w:customStyle="1" w:styleId="IntroductiontextChar">
    <w:name w:val="Introduction text Char"/>
    <w:basedOn w:val="Heading1Char"/>
    <w:link w:val="Introductiontext"/>
    <w:rsid w:val="00BB0EFE"/>
    <w:rPr>
      <w:rFonts w:ascii="Arial" w:hAnsi="Arial"/>
      <w:color w:val="00AEFF"/>
      <w:kern w:val="32"/>
      <w:sz w:val="40"/>
      <w:szCs w:val="32"/>
      <w:lang w:eastAsia="en-US"/>
    </w:rPr>
  </w:style>
  <w:style w:type="character" w:customStyle="1" w:styleId="BalloonTextChar">
    <w:name w:val="Balloon Text Char"/>
    <w:link w:val="BalloonText"/>
    <w:uiPriority w:val="99"/>
    <w:semiHidden/>
    <w:rsid w:val="001745BE"/>
    <w:rPr>
      <w:rFonts w:ascii="Tahoma" w:hAnsi="Tahoma" w:cs="Tahoma"/>
      <w:color w:val="323232"/>
      <w:sz w:val="16"/>
      <w:szCs w:val="16"/>
      <w:lang w:eastAsia="en-US"/>
    </w:rPr>
  </w:style>
  <w:style w:type="paragraph" w:styleId="DocumentMap">
    <w:name w:val="Document Map"/>
    <w:basedOn w:val="Normal"/>
    <w:link w:val="DocumentMapChar"/>
    <w:uiPriority w:val="99"/>
    <w:semiHidden/>
    <w:unhideWhenUsed/>
    <w:rsid w:val="001745BE"/>
    <w:pPr>
      <w:spacing w:before="0" w:after="0" w:line="240" w:lineRule="auto"/>
    </w:pPr>
    <w:rPr>
      <w:rFonts w:ascii="Tahoma" w:hAnsi="Tahoma"/>
      <w:sz w:val="16"/>
      <w:szCs w:val="16"/>
    </w:rPr>
  </w:style>
  <w:style w:type="character" w:customStyle="1" w:styleId="DocumentMapChar">
    <w:name w:val="Document Map Char"/>
    <w:link w:val="DocumentMap"/>
    <w:uiPriority w:val="99"/>
    <w:semiHidden/>
    <w:rsid w:val="001745BE"/>
    <w:rPr>
      <w:rFonts w:ascii="Tahoma" w:hAnsi="Tahoma" w:cs="Tahoma"/>
      <w:color w:val="323232"/>
      <w:sz w:val="16"/>
      <w:szCs w:val="16"/>
      <w:lang w:eastAsia="en-US"/>
    </w:rPr>
  </w:style>
  <w:style w:type="character" w:customStyle="1" w:styleId="FooterChar">
    <w:name w:val="Footer Char"/>
    <w:link w:val="Footer"/>
    <w:semiHidden/>
    <w:rsid w:val="009F3734"/>
    <w:rPr>
      <w:rFonts w:ascii="Arial" w:hAnsi="Arial"/>
      <w:color w:val="323232"/>
      <w:sz w:val="22"/>
      <w:szCs w:val="24"/>
      <w:lang w:eastAsia="en-US"/>
    </w:rPr>
  </w:style>
  <w:style w:type="paragraph" w:customStyle="1" w:styleId="Style1">
    <w:name w:val="Style1"/>
    <w:basedOn w:val="Level2"/>
    <w:link w:val="Style1Char"/>
    <w:qFormat/>
    <w:rsid w:val="00C10F7C"/>
    <w:pPr>
      <w:jc w:val="both"/>
    </w:pPr>
  </w:style>
  <w:style w:type="paragraph" w:customStyle="1" w:styleId="Style3">
    <w:name w:val="Style3"/>
    <w:basedOn w:val="Style1"/>
    <w:link w:val="Style3Char"/>
    <w:qFormat/>
    <w:rsid w:val="008943C4"/>
    <w:pPr>
      <w:keepNext w:val="0"/>
      <w:widowControl w:val="0"/>
      <w:numPr>
        <w:ilvl w:val="0"/>
        <w:numId w:val="7"/>
      </w:numPr>
      <w:spacing w:before="120" w:after="120"/>
      <w:ind w:left="1559" w:hanging="357"/>
    </w:pPr>
  </w:style>
  <w:style w:type="character" w:customStyle="1" w:styleId="Heading2Char">
    <w:name w:val="Heading 2 Char"/>
    <w:link w:val="Heading2"/>
    <w:uiPriority w:val="9"/>
    <w:rsid w:val="00053FB4"/>
    <w:rPr>
      <w:rFonts w:ascii="Arial" w:hAnsi="Arial"/>
      <w:color w:val="0066FF"/>
      <w:sz w:val="28"/>
      <w:szCs w:val="28"/>
      <w:lang w:eastAsia="en-US"/>
    </w:rPr>
  </w:style>
  <w:style w:type="character" w:customStyle="1" w:styleId="Level2Char">
    <w:name w:val="Level 2 Char"/>
    <w:link w:val="Level2"/>
    <w:rsid w:val="003B4C33"/>
    <w:rPr>
      <w:rFonts w:ascii="Arial" w:hAnsi="Arial"/>
      <w:color w:val="323232"/>
      <w:sz w:val="22"/>
      <w:szCs w:val="28"/>
      <w:lang w:eastAsia="en-US"/>
    </w:rPr>
  </w:style>
  <w:style w:type="character" w:customStyle="1" w:styleId="Style1Char">
    <w:name w:val="Style1 Char"/>
    <w:link w:val="Style1"/>
    <w:rsid w:val="00C10F7C"/>
    <w:rPr>
      <w:rFonts w:ascii="Arial" w:hAnsi="Arial"/>
      <w:color w:val="323232"/>
      <w:sz w:val="22"/>
      <w:szCs w:val="28"/>
      <w:lang w:eastAsia="en-US"/>
    </w:rPr>
  </w:style>
  <w:style w:type="character" w:customStyle="1" w:styleId="Style3Char">
    <w:name w:val="Style3 Char"/>
    <w:link w:val="Style3"/>
    <w:rsid w:val="008943C4"/>
    <w:rPr>
      <w:rFonts w:ascii="Arial" w:hAnsi="Arial"/>
      <w:color w:val="323232"/>
      <w:sz w:val="22"/>
      <w:szCs w:val="28"/>
      <w:lang w:eastAsia="en-US"/>
    </w:rPr>
  </w:style>
  <w:style w:type="paragraph" w:customStyle="1" w:styleId="aabody">
    <w:name w:val="aa body"/>
    <w:basedOn w:val="Level2"/>
    <w:link w:val="aabodyChar"/>
    <w:qFormat/>
    <w:rsid w:val="006B2E80"/>
    <w:pPr>
      <w:numPr>
        <w:numId w:val="4"/>
      </w:numPr>
      <w:tabs>
        <w:tab w:val="num" w:pos="1626"/>
      </w:tabs>
      <w:ind w:left="1202" w:hanging="1202"/>
    </w:pPr>
    <w:rPr>
      <w:color w:val="404040"/>
    </w:rPr>
  </w:style>
  <w:style w:type="character" w:customStyle="1" w:styleId="aabodyChar">
    <w:name w:val="aa body Char"/>
    <w:link w:val="aabody"/>
    <w:rsid w:val="006B2E80"/>
    <w:rPr>
      <w:rFonts w:ascii="Arial" w:hAnsi="Arial"/>
      <w:color w:val="404040"/>
      <w:sz w:val="22"/>
      <w:szCs w:val="28"/>
      <w:lang w:eastAsia="en-US"/>
    </w:rPr>
  </w:style>
  <w:style w:type="paragraph" w:customStyle="1" w:styleId="Style2">
    <w:name w:val="Style2"/>
    <w:basedOn w:val="Style1"/>
    <w:link w:val="Style2Char"/>
    <w:qFormat/>
    <w:rsid w:val="0064076D"/>
    <w:pPr>
      <w:numPr>
        <w:numId w:val="8"/>
      </w:numPr>
      <w:tabs>
        <w:tab w:val="left" w:pos="2127"/>
      </w:tabs>
    </w:pPr>
  </w:style>
  <w:style w:type="character" w:customStyle="1" w:styleId="Style2Char">
    <w:name w:val="Style2 Char"/>
    <w:link w:val="Style2"/>
    <w:rsid w:val="0064076D"/>
    <w:rPr>
      <w:rFonts w:ascii="Arial" w:hAnsi="Arial"/>
      <w:color w:val="323232"/>
      <w:sz w:val="22"/>
      <w:szCs w:val="28"/>
      <w:lang w:eastAsia="en-US"/>
    </w:rPr>
  </w:style>
  <w:style w:type="character" w:styleId="CommentReference">
    <w:name w:val="annotation reference"/>
    <w:uiPriority w:val="99"/>
    <w:semiHidden/>
    <w:unhideWhenUsed/>
    <w:rsid w:val="00713B36"/>
    <w:rPr>
      <w:sz w:val="16"/>
      <w:szCs w:val="16"/>
    </w:rPr>
  </w:style>
  <w:style w:type="paragraph" w:styleId="CommentText">
    <w:name w:val="annotation text"/>
    <w:basedOn w:val="Normal"/>
    <w:link w:val="CommentTextChar"/>
    <w:uiPriority w:val="99"/>
    <w:semiHidden/>
    <w:unhideWhenUsed/>
    <w:rsid w:val="00713B36"/>
    <w:rPr>
      <w:sz w:val="20"/>
      <w:szCs w:val="20"/>
    </w:rPr>
  </w:style>
  <w:style w:type="character" w:customStyle="1" w:styleId="CommentTextChar">
    <w:name w:val="Comment Text Char"/>
    <w:link w:val="CommentText"/>
    <w:uiPriority w:val="99"/>
    <w:semiHidden/>
    <w:rsid w:val="00713B36"/>
    <w:rPr>
      <w:rFonts w:ascii="Arial" w:hAnsi="Arial"/>
      <w:color w:val="323232"/>
      <w:lang w:eastAsia="en-US"/>
    </w:rPr>
  </w:style>
  <w:style w:type="paragraph" w:customStyle="1" w:styleId="abody">
    <w:name w:val="a body"/>
    <w:basedOn w:val="Normal"/>
    <w:link w:val="abodyChar"/>
    <w:qFormat/>
    <w:rsid w:val="000A2AA1"/>
    <w:pPr>
      <w:spacing w:before="120" w:after="120"/>
      <w:ind w:left="1134" w:hanging="1134"/>
      <w:jc w:val="both"/>
    </w:pPr>
    <w:rPr>
      <w:szCs w:val="28"/>
    </w:rPr>
  </w:style>
  <w:style w:type="character" w:customStyle="1" w:styleId="abodyChar">
    <w:name w:val="a body Char"/>
    <w:link w:val="abody"/>
    <w:rsid w:val="000A2AA1"/>
    <w:rPr>
      <w:rFonts w:ascii="Arial" w:hAnsi="Arial"/>
      <w:color w:val="323232"/>
      <w:sz w:val="22"/>
      <w:szCs w:val="28"/>
      <w:lang w:eastAsia="en-US"/>
    </w:rPr>
  </w:style>
  <w:style w:type="paragraph" w:customStyle="1" w:styleId="Style4">
    <w:name w:val="Style4"/>
    <w:basedOn w:val="Style1"/>
    <w:link w:val="Style4Char"/>
    <w:qFormat/>
    <w:rsid w:val="009D1635"/>
    <w:pPr>
      <w:numPr>
        <w:ilvl w:val="0"/>
        <w:numId w:val="0"/>
      </w:numPr>
    </w:pPr>
    <w:rPr>
      <w:lang w:eastAsia="en-GB"/>
    </w:rPr>
  </w:style>
  <w:style w:type="paragraph" w:styleId="CommentSubject">
    <w:name w:val="annotation subject"/>
    <w:basedOn w:val="CommentText"/>
    <w:next w:val="CommentText"/>
    <w:link w:val="CommentSubjectChar"/>
    <w:uiPriority w:val="99"/>
    <w:semiHidden/>
    <w:unhideWhenUsed/>
    <w:rsid w:val="003F7B13"/>
    <w:rPr>
      <w:b/>
      <w:bCs/>
    </w:rPr>
  </w:style>
  <w:style w:type="character" w:customStyle="1" w:styleId="Style4Char">
    <w:name w:val="Style4 Char"/>
    <w:basedOn w:val="Style1Char"/>
    <w:link w:val="Style4"/>
    <w:rsid w:val="009D1635"/>
    <w:rPr>
      <w:rFonts w:ascii="Arial" w:hAnsi="Arial"/>
      <w:color w:val="323232"/>
      <w:sz w:val="22"/>
      <w:szCs w:val="28"/>
      <w:lang w:eastAsia="en-US"/>
    </w:rPr>
  </w:style>
  <w:style w:type="character" w:customStyle="1" w:styleId="CommentSubjectChar">
    <w:name w:val="Comment Subject Char"/>
    <w:link w:val="CommentSubject"/>
    <w:uiPriority w:val="99"/>
    <w:semiHidden/>
    <w:rsid w:val="003F7B13"/>
    <w:rPr>
      <w:rFonts w:ascii="Arial" w:hAnsi="Arial"/>
      <w:b/>
      <w:bCs/>
      <w:color w:val="323232"/>
      <w:lang w:eastAsia="en-US"/>
    </w:rPr>
  </w:style>
  <w:style w:type="paragraph" w:customStyle="1" w:styleId="Style5">
    <w:name w:val="Style5"/>
    <w:basedOn w:val="Normal"/>
    <w:link w:val="Style5Char"/>
    <w:qFormat/>
    <w:rsid w:val="00EE040E"/>
    <w:pPr>
      <w:spacing w:before="0" w:after="0" w:line="240" w:lineRule="auto"/>
      <w:jc w:val="center"/>
    </w:pPr>
    <w:rPr>
      <w:sz w:val="19"/>
      <w:szCs w:val="19"/>
    </w:rPr>
  </w:style>
  <w:style w:type="paragraph" w:customStyle="1" w:styleId="aatable">
    <w:name w:val="aa table"/>
    <w:basedOn w:val="Normal"/>
    <w:link w:val="aatableChar"/>
    <w:qFormat/>
    <w:rsid w:val="00F85951"/>
    <w:pPr>
      <w:spacing w:before="0" w:after="0" w:line="240" w:lineRule="auto"/>
      <w:jc w:val="right"/>
    </w:pPr>
    <w:rPr>
      <w:color w:val="404040"/>
      <w:sz w:val="20"/>
      <w:szCs w:val="20"/>
    </w:rPr>
  </w:style>
  <w:style w:type="character" w:customStyle="1" w:styleId="Style5Char">
    <w:name w:val="Style5 Char"/>
    <w:link w:val="Style5"/>
    <w:rsid w:val="00EE040E"/>
    <w:rPr>
      <w:rFonts w:ascii="Arial" w:hAnsi="Arial"/>
      <w:color w:val="323232"/>
      <w:sz w:val="19"/>
      <w:szCs w:val="19"/>
      <w:lang w:eastAsia="en-US"/>
    </w:rPr>
  </w:style>
  <w:style w:type="paragraph" w:customStyle="1" w:styleId="Style6">
    <w:name w:val="Style6"/>
    <w:basedOn w:val="Level2"/>
    <w:link w:val="Style6Char"/>
    <w:qFormat/>
    <w:rsid w:val="00B81139"/>
    <w:pPr>
      <w:jc w:val="both"/>
    </w:pPr>
    <w:rPr>
      <w:szCs w:val="22"/>
    </w:rPr>
  </w:style>
  <w:style w:type="character" w:customStyle="1" w:styleId="aatableChar">
    <w:name w:val="aa table Char"/>
    <w:link w:val="aatable"/>
    <w:rsid w:val="00F85951"/>
    <w:rPr>
      <w:rFonts w:ascii="Arial" w:hAnsi="Arial"/>
      <w:color w:val="404040"/>
      <w:lang w:eastAsia="en-US"/>
    </w:rPr>
  </w:style>
  <w:style w:type="paragraph" w:styleId="FootnoteText">
    <w:name w:val="footnote text"/>
    <w:basedOn w:val="Normal"/>
    <w:link w:val="FootnoteTextChar"/>
    <w:uiPriority w:val="99"/>
    <w:semiHidden/>
    <w:unhideWhenUsed/>
    <w:rsid w:val="00B81139"/>
    <w:rPr>
      <w:sz w:val="20"/>
      <w:szCs w:val="20"/>
    </w:rPr>
  </w:style>
  <w:style w:type="character" w:customStyle="1" w:styleId="Style6Char">
    <w:name w:val="Style6 Char"/>
    <w:link w:val="Style6"/>
    <w:rsid w:val="00B81139"/>
    <w:rPr>
      <w:rFonts w:ascii="Arial" w:hAnsi="Arial"/>
      <w:color w:val="323232"/>
      <w:sz w:val="22"/>
      <w:szCs w:val="22"/>
      <w:lang w:eastAsia="en-US"/>
    </w:rPr>
  </w:style>
  <w:style w:type="character" w:customStyle="1" w:styleId="FootnoteTextChar">
    <w:name w:val="Footnote Text Char"/>
    <w:link w:val="FootnoteText"/>
    <w:uiPriority w:val="99"/>
    <w:semiHidden/>
    <w:rsid w:val="00B81139"/>
    <w:rPr>
      <w:rFonts w:ascii="Arial" w:hAnsi="Arial"/>
      <w:color w:val="323232"/>
      <w:lang w:eastAsia="en-US"/>
    </w:rPr>
  </w:style>
  <w:style w:type="paragraph" w:customStyle="1" w:styleId="tableheader">
    <w:name w:val="table header"/>
    <w:basedOn w:val="Heading3"/>
    <w:link w:val="tableheaderChar"/>
    <w:qFormat/>
    <w:rsid w:val="00314B63"/>
    <w:rPr>
      <w:color w:val="auto"/>
    </w:rPr>
  </w:style>
  <w:style w:type="paragraph" w:customStyle="1" w:styleId="Appendix">
    <w:name w:val="Appendix"/>
    <w:basedOn w:val="Normal"/>
    <w:link w:val="AppendixChar"/>
    <w:qFormat/>
    <w:rsid w:val="004A3BE5"/>
  </w:style>
  <w:style w:type="character" w:customStyle="1" w:styleId="Heading3Char">
    <w:name w:val="Heading 3 Char"/>
    <w:link w:val="Heading3"/>
    <w:uiPriority w:val="9"/>
    <w:rsid w:val="00C00A07"/>
    <w:rPr>
      <w:rFonts w:ascii="Arial" w:hAnsi="Arial" w:cs="Arial"/>
      <w:color w:val="0066FF"/>
      <w:sz w:val="22"/>
      <w:szCs w:val="26"/>
      <w:lang w:eastAsia="en-US"/>
    </w:rPr>
  </w:style>
  <w:style w:type="character" w:customStyle="1" w:styleId="tableheaderChar">
    <w:name w:val="table header Char"/>
    <w:basedOn w:val="Heading3Char"/>
    <w:link w:val="tableheader"/>
    <w:rsid w:val="00314B63"/>
    <w:rPr>
      <w:rFonts w:ascii="Arial Bold" w:hAnsi="Arial" w:cs="Arial"/>
      <w:b w:val="0"/>
      <w:color w:val="0066FF"/>
      <w:sz w:val="22"/>
      <w:szCs w:val="26"/>
      <w:lang w:eastAsia="en-US"/>
    </w:rPr>
  </w:style>
  <w:style w:type="paragraph" w:customStyle="1" w:styleId="tableright">
    <w:name w:val="table right"/>
    <w:basedOn w:val="aatable"/>
    <w:link w:val="tablerightChar"/>
    <w:qFormat/>
    <w:rsid w:val="00320A16"/>
  </w:style>
  <w:style w:type="character" w:customStyle="1" w:styleId="AppendixChar">
    <w:name w:val="Appendix Char"/>
    <w:link w:val="Appendix"/>
    <w:rsid w:val="004A3BE5"/>
    <w:rPr>
      <w:rFonts w:ascii="Arial" w:hAnsi="Arial"/>
      <w:color w:val="323232"/>
      <w:sz w:val="22"/>
      <w:szCs w:val="24"/>
      <w:lang w:eastAsia="en-US"/>
    </w:rPr>
  </w:style>
  <w:style w:type="character" w:styleId="FootnoteReference">
    <w:name w:val="footnote reference"/>
    <w:uiPriority w:val="99"/>
    <w:semiHidden/>
    <w:unhideWhenUsed/>
    <w:rsid w:val="007A1589"/>
    <w:rPr>
      <w:vertAlign w:val="superscript"/>
    </w:rPr>
  </w:style>
  <w:style w:type="character" w:customStyle="1" w:styleId="tablerightChar">
    <w:name w:val="table right Char"/>
    <w:link w:val="tableright"/>
    <w:rsid w:val="00320A16"/>
    <w:rPr>
      <w:rFonts w:ascii="Arial" w:hAnsi="Arial"/>
      <w:color w:val="404040"/>
      <w:lang w:eastAsia="en-US"/>
    </w:rPr>
  </w:style>
  <w:style w:type="paragraph" w:customStyle="1" w:styleId="Style7">
    <w:name w:val="Style7"/>
    <w:basedOn w:val="aatable"/>
    <w:link w:val="Style7Char"/>
    <w:qFormat/>
    <w:rsid w:val="00023F88"/>
    <w:pPr>
      <w:framePr w:hSpace="180" w:wrap="around" w:vAnchor="text" w:hAnchor="margin" w:xAlign="right" w:y="250"/>
    </w:pPr>
    <w:rPr>
      <w:rFonts w:cs="Arial"/>
    </w:rPr>
  </w:style>
  <w:style w:type="paragraph" w:customStyle="1" w:styleId="aatabletext">
    <w:name w:val="aa table text"/>
    <w:basedOn w:val="Normal"/>
    <w:link w:val="aatabletextChar"/>
    <w:qFormat/>
    <w:rsid w:val="00951F2D"/>
    <w:pPr>
      <w:widowControl w:val="0"/>
      <w:spacing w:before="200"/>
      <w:jc w:val="both"/>
      <w:outlineLvl w:val="1"/>
    </w:pPr>
    <w:rPr>
      <w:szCs w:val="28"/>
      <w:lang w:eastAsia="en-GB"/>
    </w:rPr>
  </w:style>
  <w:style w:type="character" w:customStyle="1" w:styleId="Style7Char">
    <w:name w:val="Style7 Char"/>
    <w:link w:val="Style7"/>
    <w:rsid w:val="00023F88"/>
    <w:rPr>
      <w:rFonts w:ascii="Arial" w:hAnsi="Arial" w:cs="Arial"/>
      <w:color w:val="404040"/>
      <w:lang w:eastAsia="en-US"/>
    </w:rPr>
  </w:style>
  <w:style w:type="character" w:customStyle="1" w:styleId="aatabletextChar">
    <w:name w:val="aa table text Char"/>
    <w:link w:val="aatabletext"/>
    <w:rsid w:val="00951F2D"/>
    <w:rPr>
      <w:rFonts w:ascii="Arial" w:hAnsi="Arial"/>
      <w:color w:val="323232"/>
      <w:sz w:val="22"/>
      <w:szCs w:val="28"/>
    </w:rPr>
  </w:style>
  <w:style w:type="paragraph" w:customStyle="1" w:styleId="Style9">
    <w:name w:val="Style9"/>
    <w:basedOn w:val="Normal"/>
    <w:link w:val="Style9Char"/>
    <w:qFormat/>
    <w:rsid w:val="00D55717"/>
    <w:pPr>
      <w:keepLines/>
      <w:numPr>
        <w:numId w:val="9"/>
      </w:numPr>
      <w:tabs>
        <w:tab w:val="left" w:pos="851"/>
      </w:tabs>
      <w:spacing w:before="240" w:after="0"/>
      <w:ind w:left="851" w:hanging="851"/>
      <w:jc w:val="both"/>
    </w:pPr>
  </w:style>
  <w:style w:type="character" w:customStyle="1" w:styleId="Style9Char">
    <w:name w:val="Style9 Char"/>
    <w:link w:val="Style9"/>
    <w:rsid w:val="00D55717"/>
    <w:rPr>
      <w:rFonts w:ascii="Arial" w:hAnsi="Arial"/>
      <w:color w:val="323232"/>
      <w:sz w:val="22"/>
      <w:szCs w:val="24"/>
      <w:lang w:eastAsia="en-US"/>
    </w:rPr>
  </w:style>
  <w:style w:type="paragraph" w:customStyle="1" w:styleId="Style12">
    <w:name w:val="Style12"/>
    <w:basedOn w:val="Style2"/>
    <w:link w:val="Style12Char"/>
    <w:qFormat/>
    <w:rsid w:val="007A2543"/>
    <w:pPr>
      <w:keepNext w:val="0"/>
      <w:widowControl w:val="0"/>
      <w:numPr>
        <w:ilvl w:val="0"/>
        <w:numId w:val="0"/>
      </w:numPr>
      <w:tabs>
        <w:tab w:val="clear" w:pos="2127"/>
        <w:tab w:val="left" w:pos="1418"/>
      </w:tabs>
      <w:spacing w:before="120" w:after="120"/>
      <w:ind w:left="1418" w:hanging="567"/>
    </w:pPr>
    <w:rPr>
      <w:color w:val="404040"/>
      <w:lang w:eastAsia="en-GB"/>
    </w:rPr>
  </w:style>
  <w:style w:type="character" w:customStyle="1" w:styleId="Style12Char">
    <w:name w:val="Style12 Char"/>
    <w:link w:val="Style12"/>
    <w:rsid w:val="007A2543"/>
    <w:rPr>
      <w:rFonts w:ascii="Arial" w:hAnsi="Arial"/>
      <w:color w:val="404040"/>
      <w:sz w:val="22"/>
      <w:szCs w:val="28"/>
    </w:rPr>
  </w:style>
  <w:style w:type="paragraph" w:customStyle="1" w:styleId="Style14">
    <w:name w:val="Style14"/>
    <w:basedOn w:val="Normal"/>
    <w:link w:val="Style14Char"/>
    <w:qFormat/>
    <w:rsid w:val="00D55717"/>
    <w:pPr>
      <w:keepLines/>
      <w:numPr>
        <w:numId w:val="10"/>
      </w:numPr>
      <w:tabs>
        <w:tab w:val="left" w:pos="851"/>
      </w:tabs>
      <w:spacing w:before="240" w:after="0"/>
      <w:ind w:left="851" w:hanging="851"/>
      <w:jc w:val="both"/>
    </w:pPr>
  </w:style>
  <w:style w:type="character" w:customStyle="1" w:styleId="Style14Char">
    <w:name w:val="Style14 Char"/>
    <w:link w:val="Style14"/>
    <w:rsid w:val="00D55717"/>
    <w:rPr>
      <w:rFonts w:ascii="Arial" w:hAnsi="Arial"/>
      <w:color w:val="323232"/>
      <w:sz w:val="22"/>
      <w:szCs w:val="24"/>
      <w:lang w:eastAsia="en-US"/>
    </w:rPr>
  </w:style>
  <w:style w:type="paragraph" w:customStyle="1" w:styleId="Default">
    <w:name w:val="Default"/>
    <w:rsid w:val="00A36B0D"/>
    <w:pPr>
      <w:autoSpaceDE w:val="0"/>
      <w:autoSpaceDN w:val="0"/>
      <w:adjustRightInd w:val="0"/>
    </w:pPr>
    <w:rPr>
      <w:rFonts w:ascii="Myriad Pro" w:hAnsi="Myriad Pro" w:cs="Myriad Pro"/>
      <w:color w:val="000000"/>
      <w:sz w:val="24"/>
      <w:szCs w:val="24"/>
    </w:rPr>
  </w:style>
  <w:style w:type="paragraph" w:customStyle="1" w:styleId="Level4">
    <w:name w:val="Level 4"/>
    <w:basedOn w:val="Normal"/>
    <w:rsid w:val="00AF5774"/>
    <w:pPr>
      <w:tabs>
        <w:tab w:val="num" w:pos="1200"/>
      </w:tabs>
      <w:spacing w:before="0" w:after="100"/>
      <w:ind w:left="1200" w:hanging="600"/>
    </w:pPr>
  </w:style>
  <w:style w:type="paragraph" w:customStyle="1" w:styleId="Style8">
    <w:name w:val="Style8"/>
    <w:basedOn w:val="ListParagraph"/>
    <w:link w:val="Style8Char"/>
    <w:qFormat/>
    <w:rsid w:val="00D55717"/>
    <w:pPr>
      <w:numPr>
        <w:numId w:val="11"/>
      </w:numPr>
      <w:spacing w:before="240" w:after="240" w:line="300" w:lineRule="exact"/>
      <w:ind w:left="851" w:hanging="851"/>
      <w:jc w:val="both"/>
    </w:pPr>
    <w:rPr>
      <w:rFonts w:ascii="Arial" w:hAnsi="Arial" w:cs="Arial"/>
      <w:color w:val="262626" w:themeColor="text1" w:themeTint="D9"/>
    </w:rPr>
  </w:style>
  <w:style w:type="paragraph" w:customStyle="1" w:styleId="aa">
    <w:name w:val="aa"/>
    <w:basedOn w:val="Normal"/>
    <w:rsid w:val="0011054F"/>
  </w:style>
  <w:style w:type="character" w:customStyle="1" w:styleId="ListParagraphChar">
    <w:name w:val="List Paragraph Char"/>
    <w:basedOn w:val="DefaultParagraphFont"/>
    <w:link w:val="ListParagraph"/>
    <w:uiPriority w:val="34"/>
    <w:rsid w:val="00D55717"/>
    <w:rPr>
      <w:rFonts w:ascii="Calibri" w:eastAsia="Calibri" w:hAnsi="Calibri"/>
      <w:sz w:val="22"/>
      <w:szCs w:val="22"/>
    </w:rPr>
  </w:style>
  <w:style w:type="character" w:customStyle="1" w:styleId="Style8Char">
    <w:name w:val="Style8 Char"/>
    <w:basedOn w:val="ListParagraphChar"/>
    <w:link w:val="Style8"/>
    <w:rsid w:val="00D55717"/>
    <w:rPr>
      <w:rFonts w:ascii="Arial" w:eastAsia="Calibri" w:hAnsi="Arial" w:cs="Arial"/>
      <w:color w:val="262626" w:themeColor="text1" w:themeTint="D9"/>
      <w:sz w:val="22"/>
      <w:szCs w:val="22"/>
    </w:rPr>
  </w:style>
  <w:style w:type="numbering" w:customStyle="1" w:styleId="Style10">
    <w:name w:val="Style10"/>
    <w:uiPriority w:val="99"/>
    <w:rsid w:val="0011054F"/>
    <w:pPr>
      <w:numPr>
        <w:numId w:val="12"/>
      </w:numPr>
    </w:pPr>
  </w:style>
  <w:style w:type="paragraph" w:customStyle="1" w:styleId="Style11">
    <w:name w:val="Style11"/>
    <w:basedOn w:val="Style9"/>
    <w:link w:val="Style11Char"/>
    <w:qFormat/>
    <w:rsid w:val="0011054F"/>
    <w:pPr>
      <w:numPr>
        <w:numId w:val="13"/>
      </w:numPr>
      <w:ind w:left="851" w:hanging="851"/>
    </w:pPr>
  </w:style>
  <w:style w:type="numbering" w:customStyle="1" w:styleId="Style13">
    <w:name w:val="Style13"/>
    <w:uiPriority w:val="99"/>
    <w:rsid w:val="002E0DB0"/>
    <w:pPr>
      <w:numPr>
        <w:numId w:val="14"/>
      </w:numPr>
    </w:pPr>
  </w:style>
  <w:style w:type="character" w:customStyle="1" w:styleId="Style11Char">
    <w:name w:val="Style11 Char"/>
    <w:basedOn w:val="Style9Char"/>
    <w:link w:val="Style11"/>
    <w:rsid w:val="0011054F"/>
    <w:rPr>
      <w:rFonts w:ascii="Arial" w:hAnsi="Arial"/>
      <w:color w:val="323232"/>
      <w:sz w:val="22"/>
      <w:szCs w:val="24"/>
      <w:lang w:eastAsia="en-US"/>
    </w:rPr>
  </w:style>
  <w:style w:type="paragraph" w:styleId="Revision">
    <w:name w:val="Revision"/>
    <w:hidden/>
    <w:uiPriority w:val="99"/>
    <w:semiHidden/>
    <w:rsid w:val="00D20647"/>
    <w:rPr>
      <w:rFonts w:ascii="Arial" w:hAnsi="Arial"/>
      <w:color w:val="323232"/>
      <w:sz w:val="22"/>
      <w:szCs w:val="24"/>
      <w:lang w:eastAsia="en-US"/>
    </w:rPr>
  </w:style>
  <w:style w:type="paragraph" w:customStyle="1" w:styleId="xl65">
    <w:name w:val="xl65"/>
    <w:basedOn w:val="Normal"/>
    <w:rsid w:val="00FA1D3A"/>
    <w:pPr>
      <w:pBdr>
        <w:top w:val="single" w:sz="8" w:space="0" w:color="595959"/>
        <w:left w:val="single" w:sz="8" w:space="0" w:color="595959"/>
        <w:bottom w:val="single" w:sz="8" w:space="0" w:color="595959"/>
        <w:right w:val="single" w:sz="8" w:space="0" w:color="595959"/>
      </w:pBdr>
      <w:shd w:val="clear" w:color="000000" w:fill="00B0F0"/>
      <w:spacing w:beforeAutospacing="1" w:after="100" w:afterAutospacing="1" w:line="240" w:lineRule="auto"/>
      <w:textAlignment w:val="top"/>
    </w:pPr>
    <w:rPr>
      <w:rFonts w:ascii="Times New Roman" w:hAnsi="Times New Roman"/>
      <w:color w:val="auto"/>
      <w:sz w:val="20"/>
      <w:szCs w:val="20"/>
      <w:lang w:eastAsia="en-GB"/>
    </w:rPr>
  </w:style>
  <w:style w:type="paragraph" w:customStyle="1" w:styleId="xl66">
    <w:name w:val="xl66"/>
    <w:basedOn w:val="Normal"/>
    <w:rsid w:val="00FA1D3A"/>
    <w:pPr>
      <w:pBdr>
        <w:top w:val="single" w:sz="8" w:space="0" w:color="595959"/>
        <w:bottom w:val="single" w:sz="8" w:space="0" w:color="595959"/>
        <w:right w:val="single" w:sz="8" w:space="0" w:color="595959"/>
      </w:pBdr>
      <w:shd w:val="clear" w:color="000000" w:fill="00B0F0"/>
      <w:spacing w:beforeAutospacing="1" w:after="100" w:afterAutospacing="1" w:line="240" w:lineRule="auto"/>
      <w:jc w:val="center"/>
      <w:textAlignment w:val="top"/>
    </w:pPr>
    <w:rPr>
      <w:rFonts w:cs="Arial"/>
      <w:b/>
      <w:bCs/>
      <w:color w:val="FFFFFF"/>
      <w:sz w:val="20"/>
      <w:szCs w:val="20"/>
      <w:lang w:eastAsia="en-GB"/>
    </w:rPr>
  </w:style>
  <w:style w:type="paragraph" w:customStyle="1" w:styleId="xl67">
    <w:name w:val="xl67"/>
    <w:basedOn w:val="Normal"/>
    <w:rsid w:val="00FA1D3A"/>
    <w:pPr>
      <w:pBdr>
        <w:left w:val="single" w:sz="8" w:space="0" w:color="595959"/>
        <w:bottom w:val="single" w:sz="8" w:space="0" w:color="595959"/>
        <w:right w:val="single" w:sz="8" w:space="0" w:color="595959"/>
      </w:pBdr>
      <w:spacing w:beforeAutospacing="1" w:after="100" w:afterAutospacing="1" w:line="240" w:lineRule="auto"/>
      <w:textAlignment w:val="top"/>
    </w:pPr>
    <w:rPr>
      <w:rFonts w:cs="Arial"/>
      <w:b/>
      <w:bCs/>
      <w:color w:val="404040"/>
      <w:sz w:val="20"/>
      <w:szCs w:val="20"/>
      <w:lang w:eastAsia="en-GB"/>
    </w:rPr>
  </w:style>
  <w:style w:type="paragraph" w:customStyle="1" w:styleId="xl68">
    <w:name w:val="xl68"/>
    <w:basedOn w:val="Normal"/>
    <w:rsid w:val="00FA1D3A"/>
    <w:pPr>
      <w:pBdr>
        <w:bottom w:val="single" w:sz="8" w:space="0" w:color="595959"/>
        <w:right w:val="single" w:sz="8" w:space="0" w:color="595959"/>
      </w:pBdr>
      <w:spacing w:beforeAutospacing="1" w:after="100" w:afterAutospacing="1" w:line="240" w:lineRule="auto"/>
      <w:jc w:val="center"/>
      <w:textAlignment w:val="top"/>
    </w:pPr>
    <w:rPr>
      <w:rFonts w:cs="Arial"/>
      <w:color w:val="404040"/>
      <w:sz w:val="20"/>
      <w:szCs w:val="20"/>
      <w:lang w:eastAsia="en-GB"/>
    </w:rPr>
  </w:style>
  <w:style w:type="paragraph" w:customStyle="1" w:styleId="xl69">
    <w:name w:val="xl69"/>
    <w:basedOn w:val="Normal"/>
    <w:rsid w:val="00FA1D3A"/>
    <w:pPr>
      <w:pBdr>
        <w:bottom w:val="single" w:sz="8" w:space="0" w:color="595959"/>
        <w:right w:val="single" w:sz="8" w:space="0" w:color="595959"/>
      </w:pBdr>
      <w:spacing w:beforeAutospacing="1" w:after="100" w:afterAutospacing="1" w:line="240" w:lineRule="auto"/>
      <w:jc w:val="center"/>
      <w:textAlignment w:val="top"/>
    </w:pPr>
    <w:rPr>
      <w:rFonts w:cs="Arial"/>
      <w:color w:val="404040"/>
      <w:sz w:val="20"/>
      <w:szCs w:val="20"/>
      <w:lang w:eastAsia="en-GB"/>
    </w:rPr>
  </w:style>
  <w:style w:type="paragraph" w:customStyle="1" w:styleId="xl70">
    <w:name w:val="xl70"/>
    <w:basedOn w:val="Normal"/>
    <w:rsid w:val="00FA1D3A"/>
    <w:pPr>
      <w:spacing w:beforeAutospacing="1" w:after="100" w:afterAutospacing="1" w:line="240" w:lineRule="auto"/>
      <w:textAlignment w:val="top"/>
    </w:pPr>
    <w:rPr>
      <w:rFonts w:cs="Arial"/>
      <w:b/>
      <w:bCs/>
      <w:color w:val="404040"/>
      <w:sz w:val="20"/>
      <w:szCs w:val="20"/>
      <w:lang w:eastAsia="en-GB"/>
    </w:rPr>
  </w:style>
  <w:style w:type="paragraph" w:customStyle="1" w:styleId="xl71">
    <w:name w:val="xl71"/>
    <w:basedOn w:val="Normal"/>
    <w:rsid w:val="00FA1D3A"/>
    <w:pPr>
      <w:pBdr>
        <w:bottom w:val="single" w:sz="8" w:space="0" w:color="595959"/>
        <w:right w:val="single" w:sz="8" w:space="0" w:color="595959"/>
      </w:pBdr>
      <w:spacing w:beforeAutospacing="1" w:after="100" w:afterAutospacing="1" w:line="240" w:lineRule="auto"/>
      <w:jc w:val="center"/>
      <w:textAlignment w:val="top"/>
    </w:pPr>
    <w:rPr>
      <w:rFonts w:cs="Arial"/>
      <w:color w:val="404040"/>
      <w:sz w:val="20"/>
      <w:szCs w:val="20"/>
      <w:lang w:eastAsia="en-GB"/>
    </w:rPr>
  </w:style>
  <w:style w:type="paragraph" w:customStyle="1" w:styleId="xl72">
    <w:name w:val="xl72"/>
    <w:basedOn w:val="Normal"/>
    <w:rsid w:val="00FA1D3A"/>
    <w:pPr>
      <w:pBdr>
        <w:bottom w:val="single" w:sz="8" w:space="0" w:color="595959"/>
        <w:right w:val="single" w:sz="8" w:space="0" w:color="595959"/>
      </w:pBdr>
      <w:spacing w:beforeAutospacing="1" w:after="100" w:afterAutospacing="1" w:line="240" w:lineRule="auto"/>
      <w:jc w:val="center"/>
      <w:textAlignment w:val="top"/>
    </w:pPr>
    <w:rPr>
      <w:rFonts w:cs="Arial"/>
      <w:color w:val="404040"/>
      <w:sz w:val="20"/>
      <w:szCs w:val="20"/>
      <w:lang w:eastAsia="en-GB"/>
    </w:rPr>
  </w:style>
  <w:style w:type="paragraph" w:customStyle="1" w:styleId="xl73">
    <w:name w:val="xl73"/>
    <w:basedOn w:val="Normal"/>
    <w:rsid w:val="00FA1D3A"/>
    <w:pPr>
      <w:pBdr>
        <w:bottom w:val="single" w:sz="8" w:space="0" w:color="595959"/>
        <w:right w:val="single" w:sz="8" w:space="0" w:color="595959"/>
      </w:pBdr>
      <w:spacing w:beforeAutospacing="1" w:after="100" w:afterAutospacing="1" w:line="240" w:lineRule="auto"/>
      <w:jc w:val="center"/>
      <w:textAlignment w:val="top"/>
    </w:pPr>
    <w:rPr>
      <w:rFonts w:cs="Arial"/>
      <w:b/>
      <w:bCs/>
      <w:color w:val="404040"/>
      <w:sz w:val="20"/>
      <w:szCs w:val="20"/>
      <w:lang w:eastAsia="en-GB"/>
    </w:rPr>
  </w:style>
  <w:style w:type="paragraph" w:customStyle="1" w:styleId="xl74">
    <w:name w:val="xl74"/>
    <w:basedOn w:val="Normal"/>
    <w:rsid w:val="00FA1D3A"/>
    <w:pPr>
      <w:pBdr>
        <w:bottom w:val="single" w:sz="8" w:space="0" w:color="595959"/>
        <w:right w:val="single" w:sz="8" w:space="0" w:color="595959"/>
      </w:pBdr>
      <w:spacing w:beforeAutospacing="1" w:after="100" w:afterAutospacing="1" w:line="240" w:lineRule="auto"/>
      <w:jc w:val="center"/>
      <w:textAlignment w:val="top"/>
    </w:pPr>
    <w:rPr>
      <w:rFonts w:cs="Arial"/>
      <w:b/>
      <w:bCs/>
      <w:color w:val="404040"/>
      <w:sz w:val="20"/>
      <w:szCs w:val="20"/>
      <w:lang w:eastAsia="en-GB"/>
    </w:rPr>
  </w:style>
  <w:style w:type="paragraph" w:customStyle="1" w:styleId="xl75">
    <w:name w:val="xl75"/>
    <w:basedOn w:val="Normal"/>
    <w:rsid w:val="00336556"/>
    <w:pPr>
      <w:spacing w:beforeAutospacing="1" w:after="100" w:afterAutospacing="1" w:line="240" w:lineRule="auto"/>
      <w:jc w:val="right"/>
      <w:textAlignment w:val="top"/>
    </w:pPr>
    <w:rPr>
      <w:rFonts w:cs="Arial"/>
      <w:color w:val="auto"/>
      <w:sz w:val="20"/>
      <w:szCs w:val="20"/>
      <w:lang w:eastAsia="en-GB"/>
    </w:rPr>
  </w:style>
  <w:style w:type="paragraph" w:customStyle="1" w:styleId="xl76">
    <w:name w:val="xl76"/>
    <w:basedOn w:val="Normal"/>
    <w:rsid w:val="00336556"/>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top"/>
    </w:pPr>
    <w:rPr>
      <w:rFonts w:cs="Arial"/>
      <w:color w:val="auto"/>
      <w:sz w:val="20"/>
      <w:szCs w:val="20"/>
      <w:lang w:eastAsia="en-GB"/>
    </w:rPr>
  </w:style>
  <w:style w:type="paragraph" w:customStyle="1" w:styleId="xl77">
    <w:name w:val="xl77"/>
    <w:basedOn w:val="Normal"/>
    <w:rsid w:val="00336556"/>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top"/>
    </w:pPr>
    <w:rPr>
      <w:rFonts w:cs="Arial"/>
      <w:b/>
      <w:bCs/>
      <w:color w:val="auto"/>
      <w:sz w:val="20"/>
      <w:szCs w:val="20"/>
      <w:lang w:eastAsia="en-GB"/>
    </w:rPr>
  </w:style>
  <w:style w:type="paragraph" w:customStyle="1" w:styleId="xl78">
    <w:name w:val="xl78"/>
    <w:basedOn w:val="Normal"/>
    <w:rsid w:val="00336556"/>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top"/>
    </w:pPr>
    <w:rPr>
      <w:rFonts w:cs="Arial"/>
      <w:color w:val="auto"/>
      <w:sz w:val="20"/>
      <w:szCs w:val="20"/>
      <w:lang w:eastAsia="en-GB"/>
    </w:rPr>
  </w:style>
  <w:style w:type="paragraph" w:customStyle="1" w:styleId="xl79">
    <w:name w:val="xl79"/>
    <w:basedOn w:val="Normal"/>
    <w:rsid w:val="0002785B"/>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top"/>
    </w:pPr>
    <w:rPr>
      <w:rFonts w:cs="Arial"/>
      <w:color w:val="auto"/>
      <w:sz w:val="20"/>
      <w:szCs w:val="20"/>
      <w:lang w:eastAsia="en-GB"/>
    </w:rPr>
  </w:style>
  <w:style w:type="paragraph" w:customStyle="1" w:styleId="xl80">
    <w:name w:val="xl80"/>
    <w:basedOn w:val="Normal"/>
    <w:rsid w:val="0002785B"/>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top"/>
    </w:pPr>
    <w:rPr>
      <w:rFonts w:cs="Arial"/>
      <w:color w:val="auto"/>
      <w:sz w:val="20"/>
      <w:szCs w:val="20"/>
      <w:lang w:eastAsia="en-GB"/>
    </w:rPr>
  </w:style>
  <w:style w:type="paragraph" w:customStyle="1" w:styleId="xl81">
    <w:name w:val="xl81"/>
    <w:basedOn w:val="Normal"/>
    <w:rsid w:val="0002785B"/>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top"/>
    </w:pPr>
    <w:rPr>
      <w:rFonts w:cs="Arial"/>
      <w:b/>
      <w:bCs/>
      <w:color w:val="auto"/>
      <w:sz w:val="20"/>
      <w:szCs w:val="20"/>
      <w:lang w:eastAsia="en-GB"/>
    </w:rPr>
  </w:style>
  <w:style w:type="paragraph" w:customStyle="1" w:styleId="xl82">
    <w:name w:val="xl82"/>
    <w:basedOn w:val="Normal"/>
    <w:rsid w:val="0002785B"/>
    <w:pPr>
      <w:spacing w:beforeAutospacing="1" w:after="100" w:afterAutospacing="1" w:line="240" w:lineRule="auto"/>
      <w:textAlignment w:val="top"/>
    </w:pPr>
    <w:rPr>
      <w:rFonts w:cs="Arial"/>
      <w:color w:val="auto"/>
      <w:sz w:val="20"/>
      <w:szCs w:val="20"/>
      <w:lang w:eastAsia="en-GB"/>
    </w:rPr>
  </w:style>
  <w:style w:type="paragraph" w:customStyle="1" w:styleId="xl83">
    <w:name w:val="xl83"/>
    <w:basedOn w:val="Normal"/>
    <w:rsid w:val="0002785B"/>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top"/>
    </w:pPr>
    <w:rPr>
      <w:rFonts w:cs="Arial"/>
      <w:color w:val="auto"/>
      <w:sz w:val="20"/>
      <w:szCs w:val="20"/>
      <w:lang w:eastAsia="en-GB"/>
    </w:rPr>
  </w:style>
  <w:style w:type="paragraph" w:customStyle="1" w:styleId="xl84">
    <w:name w:val="xl84"/>
    <w:basedOn w:val="Normal"/>
    <w:rsid w:val="0002785B"/>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top"/>
    </w:pPr>
    <w:rPr>
      <w:rFonts w:cs="Arial"/>
      <w:b/>
      <w:bCs/>
      <w:color w:val="auto"/>
      <w:sz w:val="20"/>
      <w:szCs w:val="20"/>
      <w:lang w:eastAsia="en-GB"/>
    </w:rPr>
  </w:style>
  <w:style w:type="paragraph" w:customStyle="1" w:styleId="xl85">
    <w:name w:val="xl85"/>
    <w:basedOn w:val="Normal"/>
    <w:rsid w:val="0002785B"/>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top"/>
    </w:pPr>
    <w:rPr>
      <w:rFonts w:cs="Arial"/>
      <w:b/>
      <w:bCs/>
      <w:color w:val="auto"/>
      <w:sz w:val="20"/>
      <w:szCs w:val="20"/>
      <w:lang w:eastAsia="en-GB"/>
    </w:rPr>
  </w:style>
  <w:style w:type="paragraph" w:customStyle="1" w:styleId="xl86">
    <w:name w:val="xl86"/>
    <w:basedOn w:val="Normal"/>
    <w:rsid w:val="0002785B"/>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top"/>
    </w:pPr>
    <w:rPr>
      <w:rFonts w:cs="Arial"/>
      <w:b/>
      <w:bCs/>
      <w:color w:val="auto"/>
      <w:sz w:val="20"/>
      <w:szCs w:val="20"/>
      <w:lang w:eastAsia="en-GB"/>
    </w:rPr>
  </w:style>
  <w:style w:type="paragraph" w:customStyle="1" w:styleId="Exec">
    <w:name w:val="Exec"/>
    <w:basedOn w:val="Style6"/>
    <w:link w:val="ExecChar"/>
    <w:qFormat/>
    <w:rsid w:val="00A00399"/>
    <w:pPr>
      <w:numPr>
        <w:ilvl w:val="0"/>
        <w:numId w:val="17"/>
      </w:numPr>
    </w:pPr>
  </w:style>
  <w:style w:type="paragraph" w:customStyle="1" w:styleId="execBP">
    <w:name w:val="exec BP"/>
    <w:basedOn w:val="Style2"/>
    <w:link w:val="execBPChar"/>
    <w:qFormat/>
    <w:rsid w:val="00A00399"/>
    <w:pPr>
      <w:keepNext w:val="0"/>
      <w:widowControl w:val="0"/>
      <w:tabs>
        <w:tab w:val="clear" w:pos="2127"/>
        <w:tab w:val="left" w:pos="1701"/>
      </w:tabs>
      <w:jc w:val="left"/>
    </w:pPr>
    <w:rPr>
      <w:rFonts w:cs="Arial"/>
      <w:szCs w:val="22"/>
    </w:rPr>
  </w:style>
  <w:style w:type="character" w:customStyle="1" w:styleId="ExecChar">
    <w:name w:val="Exec Char"/>
    <w:basedOn w:val="Style6Char"/>
    <w:link w:val="Exec"/>
    <w:rsid w:val="00A00399"/>
    <w:rPr>
      <w:rFonts w:ascii="Arial" w:hAnsi="Arial"/>
      <w:color w:val="323232"/>
      <w:sz w:val="22"/>
      <w:szCs w:val="22"/>
      <w:lang w:eastAsia="en-US"/>
    </w:rPr>
  </w:style>
  <w:style w:type="character" w:customStyle="1" w:styleId="execBPChar">
    <w:name w:val="exec BP Char"/>
    <w:basedOn w:val="Style2Char"/>
    <w:link w:val="execBP"/>
    <w:rsid w:val="00A00399"/>
    <w:rPr>
      <w:rFonts w:ascii="Arial" w:hAnsi="Arial" w:cs="Arial"/>
      <w:color w:val="323232"/>
      <w:sz w:val="22"/>
      <w:szCs w:val="22"/>
      <w:lang w:eastAsia="en-US"/>
    </w:rPr>
  </w:style>
  <w:style w:type="paragraph" w:styleId="Title">
    <w:name w:val="Title"/>
    <w:basedOn w:val="Normal"/>
    <w:next w:val="Normal"/>
    <w:link w:val="TitleChar"/>
    <w:uiPriority w:val="10"/>
    <w:qFormat/>
    <w:rsid w:val="009630D9"/>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630D9"/>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Style15">
    <w:name w:val="Style15"/>
    <w:basedOn w:val="Style3"/>
    <w:link w:val="Style15Char"/>
    <w:qFormat/>
    <w:rsid w:val="00A01981"/>
    <w:pPr>
      <w:spacing w:before="60" w:after="60"/>
    </w:pPr>
  </w:style>
  <w:style w:type="character" w:customStyle="1" w:styleId="Style15Char">
    <w:name w:val="Style15 Char"/>
    <w:basedOn w:val="Style3Char"/>
    <w:link w:val="Style15"/>
    <w:rsid w:val="00A01981"/>
    <w:rPr>
      <w:rFonts w:ascii="Arial" w:hAnsi="Arial"/>
      <w:color w:val="323232"/>
      <w:sz w:val="22"/>
      <w:szCs w:val="28"/>
      <w:lang w:eastAsia="en-US"/>
    </w:rPr>
  </w:style>
  <w:style w:type="paragraph" w:customStyle="1" w:styleId="aaa">
    <w:name w:val="aaa"/>
    <w:basedOn w:val="Level2"/>
    <w:link w:val="aaaChar"/>
    <w:qFormat/>
    <w:rsid w:val="00B70A7B"/>
    <w:pPr>
      <w:jc w:val="both"/>
    </w:pPr>
  </w:style>
  <w:style w:type="character" w:customStyle="1" w:styleId="aaaChar">
    <w:name w:val="aaa Char"/>
    <w:basedOn w:val="Level2Char"/>
    <w:link w:val="aaa"/>
    <w:rsid w:val="00B70A7B"/>
    <w:rPr>
      <w:rFonts w:ascii="Arial" w:hAnsi="Arial"/>
      <w:color w:val="323232"/>
      <w:sz w:val="22"/>
      <w:szCs w:val="28"/>
      <w:lang w:eastAsia="en-US"/>
    </w:rPr>
  </w:style>
  <w:style w:type="paragraph" w:customStyle="1" w:styleId="SDCTview">
    <w:name w:val="SDCT view"/>
    <w:basedOn w:val="aaa"/>
    <w:link w:val="SDCTviewChar"/>
    <w:qFormat/>
    <w:rsid w:val="00177C42"/>
    <w:pPr>
      <w:numPr>
        <w:ilvl w:val="0"/>
        <w:numId w:val="0"/>
      </w:numPr>
      <w:outlineLvl w:val="9"/>
    </w:pPr>
    <w:rPr>
      <w:lang w:eastAsia="en-GB"/>
    </w:rPr>
  </w:style>
  <w:style w:type="character" w:customStyle="1" w:styleId="SDCTviewChar">
    <w:name w:val="SDCT view Char"/>
    <w:basedOn w:val="aaaChar"/>
    <w:link w:val="SDCTview"/>
    <w:rsid w:val="00177C42"/>
    <w:rPr>
      <w:rFonts w:ascii="Arial" w:hAnsi="Arial"/>
      <w:color w:val="323232"/>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404">
      <w:bodyDiv w:val="1"/>
      <w:marLeft w:val="0"/>
      <w:marRight w:val="0"/>
      <w:marTop w:val="0"/>
      <w:marBottom w:val="0"/>
      <w:divBdr>
        <w:top w:val="none" w:sz="0" w:space="0" w:color="auto"/>
        <w:left w:val="none" w:sz="0" w:space="0" w:color="auto"/>
        <w:bottom w:val="none" w:sz="0" w:space="0" w:color="auto"/>
        <w:right w:val="none" w:sz="0" w:space="0" w:color="auto"/>
      </w:divBdr>
    </w:div>
    <w:div w:id="10110980">
      <w:bodyDiv w:val="1"/>
      <w:marLeft w:val="0"/>
      <w:marRight w:val="0"/>
      <w:marTop w:val="0"/>
      <w:marBottom w:val="0"/>
      <w:divBdr>
        <w:top w:val="none" w:sz="0" w:space="0" w:color="auto"/>
        <w:left w:val="none" w:sz="0" w:space="0" w:color="auto"/>
        <w:bottom w:val="none" w:sz="0" w:space="0" w:color="auto"/>
        <w:right w:val="none" w:sz="0" w:space="0" w:color="auto"/>
      </w:divBdr>
    </w:div>
    <w:div w:id="13652715">
      <w:bodyDiv w:val="1"/>
      <w:marLeft w:val="0"/>
      <w:marRight w:val="0"/>
      <w:marTop w:val="0"/>
      <w:marBottom w:val="0"/>
      <w:divBdr>
        <w:top w:val="none" w:sz="0" w:space="0" w:color="auto"/>
        <w:left w:val="none" w:sz="0" w:space="0" w:color="auto"/>
        <w:bottom w:val="none" w:sz="0" w:space="0" w:color="auto"/>
        <w:right w:val="none" w:sz="0" w:space="0" w:color="auto"/>
      </w:divBdr>
    </w:div>
    <w:div w:id="21396074">
      <w:bodyDiv w:val="1"/>
      <w:marLeft w:val="0"/>
      <w:marRight w:val="0"/>
      <w:marTop w:val="0"/>
      <w:marBottom w:val="0"/>
      <w:divBdr>
        <w:top w:val="none" w:sz="0" w:space="0" w:color="auto"/>
        <w:left w:val="none" w:sz="0" w:space="0" w:color="auto"/>
        <w:bottom w:val="none" w:sz="0" w:space="0" w:color="auto"/>
        <w:right w:val="none" w:sz="0" w:space="0" w:color="auto"/>
      </w:divBdr>
    </w:div>
    <w:div w:id="25641499">
      <w:bodyDiv w:val="1"/>
      <w:marLeft w:val="0"/>
      <w:marRight w:val="0"/>
      <w:marTop w:val="0"/>
      <w:marBottom w:val="0"/>
      <w:divBdr>
        <w:top w:val="none" w:sz="0" w:space="0" w:color="auto"/>
        <w:left w:val="none" w:sz="0" w:space="0" w:color="auto"/>
        <w:bottom w:val="none" w:sz="0" w:space="0" w:color="auto"/>
        <w:right w:val="none" w:sz="0" w:space="0" w:color="auto"/>
      </w:divBdr>
    </w:div>
    <w:div w:id="47605748">
      <w:bodyDiv w:val="1"/>
      <w:marLeft w:val="0"/>
      <w:marRight w:val="0"/>
      <w:marTop w:val="0"/>
      <w:marBottom w:val="0"/>
      <w:divBdr>
        <w:top w:val="none" w:sz="0" w:space="0" w:color="auto"/>
        <w:left w:val="none" w:sz="0" w:space="0" w:color="auto"/>
        <w:bottom w:val="none" w:sz="0" w:space="0" w:color="auto"/>
        <w:right w:val="none" w:sz="0" w:space="0" w:color="auto"/>
      </w:divBdr>
    </w:div>
    <w:div w:id="52386751">
      <w:bodyDiv w:val="1"/>
      <w:marLeft w:val="0"/>
      <w:marRight w:val="0"/>
      <w:marTop w:val="0"/>
      <w:marBottom w:val="0"/>
      <w:divBdr>
        <w:top w:val="none" w:sz="0" w:space="0" w:color="auto"/>
        <w:left w:val="none" w:sz="0" w:space="0" w:color="auto"/>
        <w:bottom w:val="none" w:sz="0" w:space="0" w:color="auto"/>
        <w:right w:val="none" w:sz="0" w:space="0" w:color="auto"/>
      </w:divBdr>
    </w:div>
    <w:div w:id="59642092">
      <w:bodyDiv w:val="1"/>
      <w:marLeft w:val="0"/>
      <w:marRight w:val="0"/>
      <w:marTop w:val="0"/>
      <w:marBottom w:val="0"/>
      <w:divBdr>
        <w:top w:val="none" w:sz="0" w:space="0" w:color="auto"/>
        <w:left w:val="none" w:sz="0" w:space="0" w:color="auto"/>
        <w:bottom w:val="none" w:sz="0" w:space="0" w:color="auto"/>
        <w:right w:val="none" w:sz="0" w:space="0" w:color="auto"/>
      </w:divBdr>
    </w:div>
    <w:div w:id="68625719">
      <w:bodyDiv w:val="1"/>
      <w:marLeft w:val="0"/>
      <w:marRight w:val="0"/>
      <w:marTop w:val="0"/>
      <w:marBottom w:val="0"/>
      <w:divBdr>
        <w:top w:val="none" w:sz="0" w:space="0" w:color="auto"/>
        <w:left w:val="none" w:sz="0" w:space="0" w:color="auto"/>
        <w:bottom w:val="none" w:sz="0" w:space="0" w:color="auto"/>
        <w:right w:val="none" w:sz="0" w:space="0" w:color="auto"/>
      </w:divBdr>
    </w:div>
    <w:div w:id="85615605">
      <w:bodyDiv w:val="1"/>
      <w:marLeft w:val="0"/>
      <w:marRight w:val="0"/>
      <w:marTop w:val="0"/>
      <w:marBottom w:val="0"/>
      <w:divBdr>
        <w:top w:val="none" w:sz="0" w:space="0" w:color="auto"/>
        <w:left w:val="none" w:sz="0" w:space="0" w:color="auto"/>
        <w:bottom w:val="none" w:sz="0" w:space="0" w:color="auto"/>
        <w:right w:val="none" w:sz="0" w:space="0" w:color="auto"/>
      </w:divBdr>
    </w:div>
    <w:div w:id="90863009">
      <w:bodyDiv w:val="1"/>
      <w:marLeft w:val="0"/>
      <w:marRight w:val="0"/>
      <w:marTop w:val="0"/>
      <w:marBottom w:val="0"/>
      <w:divBdr>
        <w:top w:val="none" w:sz="0" w:space="0" w:color="auto"/>
        <w:left w:val="none" w:sz="0" w:space="0" w:color="auto"/>
        <w:bottom w:val="none" w:sz="0" w:space="0" w:color="auto"/>
        <w:right w:val="none" w:sz="0" w:space="0" w:color="auto"/>
      </w:divBdr>
    </w:div>
    <w:div w:id="122817893">
      <w:bodyDiv w:val="1"/>
      <w:marLeft w:val="0"/>
      <w:marRight w:val="0"/>
      <w:marTop w:val="0"/>
      <w:marBottom w:val="0"/>
      <w:divBdr>
        <w:top w:val="none" w:sz="0" w:space="0" w:color="auto"/>
        <w:left w:val="none" w:sz="0" w:space="0" w:color="auto"/>
        <w:bottom w:val="none" w:sz="0" w:space="0" w:color="auto"/>
        <w:right w:val="none" w:sz="0" w:space="0" w:color="auto"/>
      </w:divBdr>
    </w:div>
    <w:div w:id="124008564">
      <w:bodyDiv w:val="1"/>
      <w:marLeft w:val="0"/>
      <w:marRight w:val="0"/>
      <w:marTop w:val="0"/>
      <w:marBottom w:val="0"/>
      <w:divBdr>
        <w:top w:val="none" w:sz="0" w:space="0" w:color="auto"/>
        <w:left w:val="none" w:sz="0" w:space="0" w:color="auto"/>
        <w:bottom w:val="none" w:sz="0" w:space="0" w:color="auto"/>
        <w:right w:val="none" w:sz="0" w:space="0" w:color="auto"/>
      </w:divBdr>
    </w:div>
    <w:div w:id="125239773">
      <w:bodyDiv w:val="1"/>
      <w:marLeft w:val="0"/>
      <w:marRight w:val="0"/>
      <w:marTop w:val="0"/>
      <w:marBottom w:val="0"/>
      <w:divBdr>
        <w:top w:val="none" w:sz="0" w:space="0" w:color="auto"/>
        <w:left w:val="none" w:sz="0" w:space="0" w:color="auto"/>
        <w:bottom w:val="none" w:sz="0" w:space="0" w:color="auto"/>
        <w:right w:val="none" w:sz="0" w:space="0" w:color="auto"/>
      </w:divBdr>
    </w:div>
    <w:div w:id="128521743">
      <w:bodyDiv w:val="1"/>
      <w:marLeft w:val="0"/>
      <w:marRight w:val="0"/>
      <w:marTop w:val="0"/>
      <w:marBottom w:val="0"/>
      <w:divBdr>
        <w:top w:val="none" w:sz="0" w:space="0" w:color="auto"/>
        <w:left w:val="none" w:sz="0" w:space="0" w:color="auto"/>
        <w:bottom w:val="none" w:sz="0" w:space="0" w:color="auto"/>
        <w:right w:val="none" w:sz="0" w:space="0" w:color="auto"/>
      </w:divBdr>
      <w:divsChild>
        <w:div w:id="246424620">
          <w:marLeft w:val="0"/>
          <w:marRight w:val="0"/>
          <w:marTop w:val="0"/>
          <w:marBottom w:val="0"/>
          <w:divBdr>
            <w:top w:val="none" w:sz="0" w:space="0" w:color="auto"/>
            <w:left w:val="none" w:sz="0" w:space="0" w:color="auto"/>
            <w:bottom w:val="none" w:sz="0" w:space="0" w:color="auto"/>
            <w:right w:val="none" w:sz="0" w:space="0" w:color="auto"/>
          </w:divBdr>
        </w:div>
        <w:div w:id="517813879">
          <w:marLeft w:val="0"/>
          <w:marRight w:val="0"/>
          <w:marTop w:val="0"/>
          <w:marBottom w:val="0"/>
          <w:divBdr>
            <w:top w:val="none" w:sz="0" w:space="0" w:color="auto"/>
            <w:left w:val="none" w:sz="0" w:space="0" w:color="auto"/>
            <w:bottom w:val="none" w:sz="0" w:space="0" w:color="auto"/>
            <w:right w:val="none" w:sz="0" w:space="0" w:color="auto"/>
          </w:divBdr>
        </w:div>
        <w:div w:id="554465045">
          <w:marLeft w:val="0"/>
          <w:marRight w:val="0"/>
          <w:marTop w:val="0"/>
          <w:marBottom w:val="0"/>
          <w:divBdr>
            <w:top w:val="none" w:sz="0" w:space="0" w:color="auto"/>
            <w:left w:val="none" w:sz="0" w:space="0" w:color="auto"/>
            <w:bottom w:val="none" w:sz="0" w:space="0" w:color="auto"/>
            <w:right w:val="none" w:sz="0" w:space="0" w:color="auto"/>
          </w:divBdr>
        </w:div>
        <w:div w:id="793787316">
          <w:marLeft w:val="0"/>
          <w:marRight w:val="0"/>
          <w:marTop w:val="0"/>
          <w:marBottom w:val="0"/>
          <w:divBdr>
            <w:top w:val="none" w:sz="0" w:space="0" w:color="auto"/>
            <w:left w:val="none" w:sz="0" w:space="0" w:color="auto"/>
            <w:bottom w:val="none" w:sz="0" w:space="0" w:color="auto"/>
            <w:right w:val="none" w:sz="0" w:space="0" w:color="auto"/>
          </w:divBdr>
        </w:div>
        <w:div w:id="987174647">
          <w:marLeft w:val="0"/>
          <w:marRight w:val="0"/>
          <w:marTop w:val="0"/>
          <w:marBottom w:val="0"/>
          <w:divBdr>
            <w:top w:val="none" w:sz="0" w:space="0" w:color="auto"/>
            <w:left w:val="none" w:sz="0" w:space="0" w:color="auto"/>
            <w:bottom w:val="none" w:sz="0" w:space="0" w:color="auto"/>
            <w:right w:val="none" w:sz="0" w:space="0" w:color="auto"/>
          </w:divBdr>
        </w:div>
        <w:div w:id="1809546293">
          <w:marLeft w:val="0"/>
          <w:marRight w:val="0"/>
          <w:marTop w:val="0"/>
          <w:marBottom w:val="0"/>
          <w:divBdr>
            <w:top w:val="none" w:sz="0" w:space="0" w:color="auto"/>
            <w:left w:val="none" w:sz="0" w:space="0" w:color="auto"/>
            <w:bottom w:val="none" w:sz="0" w:space="0" w:color="auto"/>
            <w:right w:val="none" w:sz="0" w:space="0" w:color="auto"/>
          </w:divBdr>
        </w:div>
        <w:div w:id="1980186790">
          <w:marLeft w:val="0"/>
          <w:marRight w:val="0"/>
          <w:marTop w:val="0"/>
          <w:marBottom w:val="0"/>
          <w:divBdr>
            <w:top w:val="none" w:sz="0" w:space="0" w:color="auto"/>
            <w:left w:val="none" w:sz="0" w:space="0" w:color="auto"/>
            <w:bottom w:val="none" w:sz="0" w:space="0" w:color="auto"/>
            <w:right w:val="none" w:sz="0" w:space="0" w:color="auto"/>
          </w:divBdr>
        </w:div>
        <w:div w:id="2059939202">
          <w:marLeft w:val="0"/>
          <w:marRight w:val="0"/>
          <w:marTop w:val="0"/>
          <w:marBottom w:val="0"/>
          <w:divBdr>
            <w:top w:val="none" w:sz="0" w:space="0" w:color="auto"/>
            <w:left w:val="none" w:sz="0" w:space="0" w:color="auto"/>
            <w:bottom w:val="none" w:sz="0" w:space="0" w:color="auto"/>
            <w:right w:val="none" w:sz="0" w:space="0" w:color="auto"/>
          </w:divBdr>
        </w:div>
      </w:divsChild>
    </w:div>
    <w:div w:id="146168308">
      <w:bodyDiv w:val="1"/>
      <w:marLeft w:val="0"/>
      <w:marRight w:val="0"/>
      <w:marTop w:val="0"/>
      <w:marBottom w:val="0"/>
      <w:divBdr>
        <w:top w:val="none" w:sz="0" w:space="0" w:color="auto"/>
        <w:left w:val="none" w:sz="0" w:space="0" w:color="auto"/>
        <w:bottom w:val="none" w:sz="0" w:space="0" w:color="auto"/>
        <w:right w:val="none" w:sz="0" w:space="0" w:color="auto"/>
      </w:divBdr>
    </w:div>
    <w:div w:id="147092619">
      <w:bodyDiv w:val="1"/>
      <w:marLeft w:val="0"/>
      <w:marRight w:val="0"/>
      <w:marTop w:val="0"/>
      <w:marBottom w:val="0"/>
      <w:divBdr>
        <w:top w:val="none" w:sz="0" w:space="0" w:color="auto"/>
        <w:left w:val="none" w:sz="0" w:space="0" w:color="auto"/>
        <w:bottom w:val="none" w:sz="0" w:space="0" w:color="auto"/>
        <w:right w:val="none" w:sz="0" w:space="0" w:color="auto"/>
      </w:divBdr>
    </w:div>
    <w:div w:id="164979958">
      <w:bodyDiv w:val="1"/>
      <w:marLeft w:val="0"/>
      <w:marRight w:val="0"/>
      <w:marTop w:val="0"/>
      <w:marBottom w:val="0"/>
      <w:divBdr>
        <w:top w:val="none" w:sz="0" w:space="0" w:color="auto"/>
        <w:left w:val="none" w:sz="0" w:space="0" w:color="auto"/>
        <w:bottom w:val="none" w:sz="0" w:space="0" w:color="auto"/>
        <w:right w:val="none" w:sz="0" w:space="0" w:color="auto"/>
      </w:divBdr>
    </w:div>
    <w:div w:id="171839721">
      <w:bodyDiv w:val="1"/>
      <w:marLeft w:val="0"/>
      <w:marRight w:val="0"/>
      <w:marTop w:val="0"/>
      <w:marBottom w:val="0"/>
      <w:divBdr>
        <w:top w:val="none" w:sz="0" w:space="0" w:color="auto"/>
        <w:left w:val="none" w:sz="0" w:space="0" w:color="auto"/>
        <w:bottom w:val="none" w:sz="0" w:space="0" w:color="auto"/>
        <w:right w:val="none" w:sz="0" w:space="0" w:color="auto"/>
      </w:divBdr>
    </w:div>
    <w:div w:id="192575936">
      <w:bodyDiv w:val="1"/>
      <w:marLeft w:val="0"/>
      <w:marRight w:val="0"/>
      <w:marTop w:val="0"/>
      <w:marBottom w:val="0"/>
      <w:divBdr>
        <w:top w:val="none" w:sz="0" w:space="0" w:color="auto"/>
        <w:left w:val="none" w:sz="0" w:space="0" w:color="auto"/>
        <w:bottom w:val="none" w:sz="0" w:space="0" w:color="auto"/>
        <w:right w:val="none" w:sz="0" w:space="0" w:color="auto"/>
      </w:divBdr>
    </w:div>
    <w:div w:id="203640424">
      <w:bodyDiv w:val="1"/>
      <w:marLeft w:val="0"/>
      <w:marRight w:val="0"/>
      <w:marTop w:val="0"/>
      <w:marBottom w:val="0"/>
      <w:divBdr>
        <w:top w:val="none" w:sz="0" w:space="0" w:color="auto"/>
        <w:left w:val="none" w:sz="0" w:space="0" w:color="auto"/>
        <w:bottom w:val="none" w:sz="0" w:space="0" w:color="auto"/>
        <w:right w:val="none" w:sz="0" w:space="0" w:color="auto"/>
      </w:divBdr>
    </w:div>
    <w:div w:id="205610239">
      <w:bodyDiv w:val="1"/>
      <w:marLeft w:val="0"/>
      <w:marRight w:val="0"/>
      <w:marTop w:val="0"/>
      <w:marBottom w:val="0"/>
      <w:divBdr>
        <w:top w:val="none" w:sz="0" w:space="0" w:color="auto"/>
        <w:left w:val="none" w:sz="0" w:space="0" w:color="auto"/>
        <w:bottom w:val="none" w:sz="0" w:space="0" w:color="auto"/>
        <w:right w:val="none" w:sz="0" w:space="0" w:color="auto"/>
      </w:divBdr>
    </w:div>
    <w:div w:id="206139995">
      <w:bodyDiv w:val="1"/>
      <w:marLeft w:val="0"/>
      <w:marRight w:val="0"/>
      <w:marTop w:val="0"/>
      <w:marBottom w:val="0"/>
      <w:divBdr>
        <w:top w:val="none" w:sz="0" w:space="0" w:color="auto"/>
        <w:left w:val="none" w:sz="0" w:space="0" w:color="auto"/>
        <w:bottom w:val="none" w:sz="0" w:space="0" w:color="auto"/>
        <w:right w:val="none" w:sz="0" w:space="0" w:color="auto"/>
      </w:divBdr>
      <w:divsChild>
        <w:div w:id="35862782">
          <w:marLeft w:val="0"/>
          <w:marRight w:val="0"/>
          <w:marTop w:val="0"/>
          <w:marBottom w:val="0"/>
          <w:divBdr>
            <w:top w:val="none" w:sz="0" w:space="0" w:color="auto"/>
            <w:left w:val="none" w:sz="0" w:space="0" w:color="auto"/>
            <w:bottom w:val="none" w:sz="0" w:space="0" w:color="auto"/>
            <w:right w:val="none" w:sz="0" w:space="0" w:color="auto"/>
          </w:divBdr>
        </w:div>
        <w:div w:id="90250494">
          <w:marLeft w:val="0"/>
          <w:marRight w:val="0"/>
          <w:marTop w:val="0"/>
          <w:marBottom w:val="0"/>
          <w:divBdr>
            <w:top w:val="none" w:sz="0" w:space="0" w:color="auto"/>
            <w:left w:val="none" w:sz="0" w:space="0" w:color="auto"/>
            <w:bottom w:val="none" w:sz="0" w:space="0" w:color="auto"/>
            <w:right w:val="none" w:sz="0" w:space="0" w:color="auto"/>
          </w:divBdr>
        </w:div>
        <w:div w:id="282730452">
          <w:marLeft w:val="0"/>
          <w:marRight w:val="0"/>
          <w:marTop w:val="0"/>
          <w:marBottom w:val="0"/>
          <w:divBdr>
            <w:top w:val="none" w:sz="0" w:space="0" w:color="auto"/>
            <w:left w:val="none" w:sz="0" w:space="0" w:color="auto"/>
            <w:bottom w:val="none" w:sz="0" w:space="0" w:color="auto"/>
            <w:right w:val="none" w:sz="0" w:space="0" w:color="auto"/>
          </w:divBdr>
        </w:div>
        <w:div w:id="307787400">
          <w:marLeft w:val="0"/>
          <w:marRight w:val="0"/>
          <w:marTop w:val="0"/>
          <w:marBottom w:val="0"/>
          <w:divBdr>
            <w:top w:val="none" w:sz="0" w:space="0" w:color="auto"/>
            <w:left w:val="none" w:sz="0" w:space="0" w:color="auto"/>
            <w:bottom w:val="none" w:sz="0" w:space="0" w:color="auto"/>
            <w:right w:val="none" w:sz="0" w:space="0" w:color="auto"/>
          </w:divBdr>
        </w:div>
        <w:div w:id="416831250">
          <w:marLeft w:val="0"/>
          <w:marRight w:val="0"/>
          <w:marTop w:val="0"/>
          <w:marBottom w:val="0"/>
          <w:divBdr>
            <w:top w:val="none" w:sz="0" w:space="0" w:color="auto"/>
            <w:left w:val="none" w:sz="0" w:space="0" w:color="auto"/>
            <w:bottom w:val="none" w:sz="0" w:space="0" w:color="auto"/>
            <w:right w:val="none" w:sz="0" w:space="0" w:color="auto"/>
          </w:divBdr>
        </w:div>
        <w:div w:id="446002225">
          <w:marLeft w:val="0"/>
          <w:marRight w:val="0"/>
          <w:marTop w:val="0"/>
          <w:marBottom w:val="0"/>
          <w:divBdr>
            <w:top w:val="none" w:sz="0" w:space="0" w:color="auto"/>
            <w:left w:val="none" w:sz="0" w:space="0" w:color="auto"/>
            <w:bottom w:val="none" w:sz="0" w:space="0" w:color="auto"/>
            <w:right w:val="none" w:sz="0" w:space="0" w:color="auto"/>
          </w:divBdr>
        </w:div>
        <w:div w:id="1412197204">
          <w:marLeft w:val="0"/>
          <w:marRight w:val="0"/>
          <w:marTop w:val="0"/>
          <w:marBottom w:val="0"/>
          <w:divBdr>
            <w:top w:val="none" w:sz="0" w:space="0" w:color="auto"/>
            <w:left w:val="none" w:sz="0" w:space="0" w:color="auto"/>
            <w:bottom w:val="none" w:sz="0" w:space="0" w:color="auto"/>
            <w:right w:val="none" w:sz="0" w:space="0" w:color="auto"/>
          </w:divBdr>
        </w:div>
        <w:div w:id="1897933194">
          <w:marLeft w:val="0"/>
          <w:marRight w:val="0"/>
          <w:marTop w:val="0"/>
          <w:marBottom w:val="0"/>
          <w:divBdr>
            <w:top w:val="none" w:sz="0" w:space="0" w:color="auto"/>
            <w:left w:val="none" w:sz="0" w:space="0" w:color="auto"/>
            <w:bottom w:val="none" w:sz="0" w:space="0" w:color="auto"/>
            <w:right w:val="none" w:sz="0" w:space="0" w:color="auto"/>
          </w:divBdr>
        </w:div>
      </w:divsChild>
    </w:div>
    <w:div w:id="222444937">
      <w:bodyDiv w:val="1"/>
      <w:marLeft w:val="0"/>
      <w:marRight w:val="0"/>
      <w:marTop w:val="0"/>
      <w:marBottom w:val="0"/>
      <w:divBdr>
        <w:top w:val="none" w:sz="0" w:space="0" w:color="auto"/>
        <w:left w:val="none" w:sz="0" w:space="0" w:color="auto"/>
        <w:bottom w:val="none" w:sz="0" w:space="0" w:color="auto"/>
        <w:right w:val="none" w:sz="0" w:space="0" w:color="auto"/>
      </w:divBdr>
    </w:div>
    <w:div w:id="222789238">
      <w:bodyDiv w:val="1"/>
      <w:marLeft w:val="0"/>
      <w:marRight w:val="0"/>
      <w:marTop w:val="0"/>
      <w:marBottom w:val="0"/>
      <w:divBdr>
        <w:top w:val="none" w:sz="0" w:space="0" w:color="auto"/>
        <w:left w:val="none" w:sz="0" w:space="0" w:color="auto"/>
        <w:bottom w:val="none" w:sz="0" w:space="0" w:color="auto"/>
        <w:right w:val="none" w:sz="0" w:space="0" w:color="auto"/>
      </w:divBdr>
    </w:div>
    <w:div w:id="223569725">
      <w:bodyDiv w:val="1"/>
      <w:marLeft w:val="0"/>
      <w:marRight w:val="0"/>
      <w:marTop w:val="0"/>
      <w:marBottom w:val="0"/>
      <w:divBdr>
        <w:top w:val="none" w:sz="0" w:space="0" w:color="auto"/>
        <w:left w:val="none" w:sz="0" w:space="0" w:color="auto"/>
        <w:bottom w:val="none" w:sz="0" w:space="0" w:color="auto"/>
        <w:right w:val="none" w:sz="0" w:space="0" w:color="auto"/>
      </w:divBdr>
    </w:div>
    <w:div w:id="223881901">
      <w:bodyDiv w:val="1"/>
      <w:marLeft w:val="0"/>
      <w:marRight w:val="0"/>
      <w:marTop w:val="0"/>
      <w:marBottom w:val="0"/>
      <w:divBdr>
        <w:top w:val="none" w:sz="0" w:space="0" w:color="auto"/>
        <w:left w:val="none" w:sz="0" w:space="0" w:color="auto"/>
        <w:bottom w:val="none" w:sz="0" w:space="0" w:color="auto"/>
        <w:right w:val="none" w:sz="0" w:space="0" w:color="auto"/>
      </w:divBdr>
    </w:div>
    <w:div w:id="261843815">
      <w:bodyDiv w:val="1"/>
      <w:marLeft w:val="0"/>
      <w:marRight w:val="0"/>
      <w:marTop w:val="0"/>
      <w:marBottom w:val="0"/>
      <w:divBdr>
        <w:top w:val="none" w:sz="0" w:space="0" w:color="auto"/>
        <w:left w:val="none" w:sz="0" w:space="0" w:color="auto"/>
        <w:bottom w:val="none" w:sz="0" w:space="0" w:color="auto"/>
        <w:right w:val="none" w:sz="0" w:space="0" w:color="auto"/>
      </w:divBdr>
    </w:div>
    <w:div w:id="267011748">
      <w:bodyDiv w:val="1"/>
      <w:marLeft w:val="0"/>
      <w:marRight w:val="0"/>
      <w:marTop w:val="0"/>
      <w:marBottom w:val="0"/>
      <w:divBdr>
        <w:top w:val="none" w:sz="0" w:space="0" w:color="auto"/>
        <w:left w:val="none" w:sz="0" w:space="0" w:color="auto"/>
        <w:bottom w:val="none" w:sz="0" w:space="0" w:color="auto"/>
        <w:right w:val="none" w:sz="0" w:space="0" w:color="auto"/>
      </w:divBdr>
    </w:div>
    <w:div w:id="279603821">
      <w:bodyDiv w:val="1"/>
      <w:marLeft w:val="0"/>
      <w:marRight w:val="0"/>
      <w:marTop w:val="0"/>
      <w:marBottom w:val="0"/>
      <w:divBdr>
        <w:top w:val="none" w:sz="0" w:space="0" w:color="auto"/>
        <w:left w:val="none" w:sz="0" w:space="0" w:color="auto"/>
        <w:bottom w:val="none" w:sz="0" w:space="0" w:color="auto"/>
        <w:right w:val="none" w:sz="0" w:space="0" w:color="auto"/>
      </w:divBdr>
    </w:div>
    <w:div w:id="284774354">
      <w:bodyDiv w:val="1"/>
      <w:marLeft w:val="0"/>
      <w:marRight w:val="0"/>
      <w:marTop w:val="0"/>
      <w:marBottom w:val="0"/>
      <w:divBdr>
        <w:top w:val="none" w:sz="0" w:space="0" w:color="auto"/>
        <w:left w:val="none" w:sz="0" w:space="0" w:color="auto"/>
        <w:bottom w:val="none" w:sz="0" w:space="0" w:color="auto"/>
        <w:right w:val="none" w:sz="0" w:space="0" w:color="auto"/>
      </w:divBdr>
    </w:div>
    <w:div w:id="319162051">
      <w:bodyDiv w:val="1"/>
      <w:marLeft w:val="0"/>
      <w:marRight w:val="0"/>
      <w:marTop w:val="0"/>
      <w:marBottom w:val="0"/>
      <w:divBdr>
        <w:top w:val="none" w:sz="0" w:space="0" w:color="auto"/>
        <w:left w:val="none" w:sz="0" w:space="0" w:color="auto"/>
        <w:bottom w:val="none" w:sz="0" w:space="0" w:color="auto"/>
        <w:right w:val="none" w:sz="0" w:space="0" w:color="auto"/>
      </w:divBdr>
    </w:div>
    <w:div w:id="336150292">
      <w:bodyDiv w:val="1"/>
      <w:marLeft w:val="0"/>
      <w:marRight w:val="0"/>
      <w:marTop w:val="0"/>
      <w:marBottom w:val="0"/>
      <w:divBdr>
        <w:top w:val="none" w:sz="0" w:space="0" w:color="auto"/>
        <w:left w:val="none" w:sz="0" w:space="0" w:color="auto"/>
        <w:bottom w:val="none" w:sz="0" w:space="0" w:color="auto"/>
        <w:right w:val="none" w:sz="0" w:space="0" w:color="auto"/>
      </w:divBdr>
    </w:div>
    <w:div w:id="359015553">
      <w:bodyDiv w:val="1"/>
      <w:marLeft w:val="0"/>
      <w:marRight w:val="0"/>
      <w:marTop w:val="0"/>
      <w:marBottom w:val="0"/>
      <w:divBdr>
        <w:top w:val="none" w:sz="0" w:space="0" w:color="auto"/>
        <w:left w:val="none" w:sz="0" w:space="0" w:color="auto"/>
        <w:bottom w:val="none" w:sz="0" w:space="0" w:color="auto"/>
        <w:right w:val="none" w:sz="0" w:space="0" w:color="auto"/>
      </w:divBdr>
    </w:div>
    <w:div w:id="365299371">
      <w:bodyDiv w:val="1"/>
      <w:marLeft w:val="0"/>
      <w:marRight w:val="0"/>
      <w:marTop w:val="0"/>
      <w:marBottom w:val="0"/>
      <w:divBdr>
        <w:top w:val="none" w:sz="0" w:space="0" w:color="auto"/>
        <w:left w:val="none" w:sz="0" w:space="0" w:color="auto"/>
        <w:bottom w:val="none" w:sz="0" w:space="0" w:color="auto"/>
        <w:right w:val="none" w:sz="0" w:space="0" w:color="auto"/>
      </w:divBdr>
    </w:div>
    <w:div w:id="384375815">
      <w:bodyDiv w:val="1"/>
      <w:marLeft w:val="0"/>
      <w:marRight w:val="0"/>
      <w:marTop w:val="0"/>
      <w:marBottom w:val="0"/>
      <w:divBdr>
        <w:top w:val="none" w:sz="0" w:space="0" w:color="auto"/>
        <w:left w:val="none" w:sz="0" w:space="0" w:color="auto"/>
        <w:bottom w:val="none" w:sz="0" w:space="0" w:color="auto"/>
        <w:right w:val="none" w:sz="0" w:space="0" w:color="auto"/>
      </w:divBdr>
    </w:div>
    <w:div w:id="389118122">
      <w:bodyDiv w:val="1"/>
      <w:marLeft w:val="0"/>
      <w:marRight w:val="0"/>
      <w:marTop w:val="0"/>
      <w:marBottom w:val="0"/>
      <w:divBdr>
        <w:top w:val="none" w:sz="0" w:space="0" w:color="auto"/>
        <w:left w:val="none" w:sz="0" w:space="0" w:color="auto"/>
        <w:bottom w:val="none" w:sz="0" w:space="0" w:color="auto"/>
        <w:right w:val="none" w:sz="0" w:space="0" w:color="auto"/>
      </w:divBdr>
    </w:div>
    <w:div w:id="402724871">
      <w:bodyDiv w:val="1"/>
      <w:marLeft w:val="0"/>
      <w:marRight w:val="0"/>
      <w:marTop w:val="0"/>
      <w:marBottom w:val="0"/>
      <w:divBdr>
        <w:top w:val="none" w:sz="0" w:space="0" w:color="auto"/>
        <w:left w:val="none" w:sz="0" w:space="0" w:color="auto"/>
        <w:bottom w:val="none" w:sz="0" w:space="0" w:color="auto"/>
        <w:right w:val="none" w:sz="0" w:space="0" w:color="auto"/>
      </w:divBdr>
    </w:div>
    <w:div w:id="407044362">
      <w:bodyDiv w:val="1"/>
      <w:marLeft w:val="0"/>
      <w:marRight w:val="0"/>
      <w:marTop w:val="0"/>
      <w:marBottom w:val="0"/>
      <w:divBdr>
        <w:top w:val="none" w:sz="0" w:space="0" w:color="auto"/>
        <w:left w:val="none" w:sz="0" w:space="0" w:color="auto"/>
        <w:bottom w:val="none" w:sz="0" w:space="0" w:color="auto"/>
        <w:right w:val="none" w:sz="0" w:space="0" w:color="auto"/>
      </w:divBdr>
    </w:div>
    <w:div w:id="428551273">
      <w:bodyDiv w:val="1"/>
      <w:marLeft w:val="0"/>
      <w:marRight w:val="0"/>
      <w:marTop w:val="0"/>
      <w:marBottom w:val="0"/>
      <w:divBdr>
        <w:top w:val="none" w:sz="0" w:space="0" w:color="auto"/>
        <w:left w:val="none" w:sz="0" w:space="0" w:color="auto"/>
        <w:bottom w:val="none" w:sz="0" w:space="0" w:color="auto"/>
        <w:right w:val="none" w:sz="0" w:space="0" w:color="auto"/>
      </w:divBdr>
    </w:div>
    <w:div w:id="435251915">
      <w:bodyDiv w:val="1"/>
      <w:marLeft w:val="0"/>
      <w:marRight w:val="0"/>
      <w:marTop w:val="0"/>
      <w:marBottom w:val="0"/>
      <w:divBdr>
        <w:top w:val="none" w:sz="0" w:space="0" w:color="auto"/>
        <w:left w:val="none" w:sz="0" w:space="0" w:color="auto"/>
        <w:bottom w:val="none" w:sz="0" w:space="0" w:color="auto"/>
        <w:right w:val="none" w:sz="0" w:space="0" w:color="auto"/>
      </w:divBdr>
      <w:divsChild>
        <w:div w:id="1353805415">
          <w:marLeft w:val="1166"/>
          <w:marRight w:val="0"/>
          <w:marTop w:val="96"/>
          <w:marBottom w:val="0"/>
          <w:divBdr>
            <w:top w:val="none" w:sz="0" w:space="0" w:color="auto"/>
            <w:left w:val="none" w:sz="0" w:space="0" w:color="auto"/>
            <w:bottom w:val="none" w:sz="0" w:space="0" w:color="auto"/>
            <w:right w:val="none" w:sz="0" w:space="0" w:color="auto"/>
          </w:divBdr>
        </w:div>
      </w:divsChild>
    </w:div>
    <w:div w:id="453136798">
      <w:bodyDiv w:val="1"/>
      <w:marLeft w:val="0"/>
      <w:marRight w:val="0"/>
      <w:marTop w:val="0"/>
      <w:marBottom w:val="0"/>
      <w:divBdr>
        <w:top w:val="none" w:sz="0" w:space="0" w:color="auto"/>
        <w:left w:val="none" w:sz="0" w:space="0" w:color="auto"/>
        <w:bottom w:val="none" w:sz="0" w:space="0" w:color="auto"/>
        <w:right w:val="none" w:sz="0" w:space="0" w:color="auto"/>
      </w:divBdr>
    </w:div>
    <w:div w:id="483546007">
      <w:bodyDiv w:val="1"/>
      <w:marLeft w:val="0"/>
      <w:marRight w:val="0"/>
      <w:marTop w:val="0"/>
      <w:marBottom w:val="0"/>
      <w:divBdr>
        <w:top w:val="none" w:sz="0" w:space="0" w:color="auto"/>
        <w:left w:val="none" w:sz="0" w:space="0" w:color="auto"/>
        <w:bottom w:val="none" w:sz="0" w:space="0" w:color="auto"/>
        <w:right w:val="none" w:sz="0" w:space="0" w:color="auto"/>
      </w:divBdr>
    </w:div>
    <w:div w:id="484053591">
      <w:bodyDiv w:val="1"/>
      <w:marLeft w:val="0"/>
      <w:marRight w:val="0"/>
      <w:marTop w:val="0"/>
      <w:marBottom w:val="0"/>
      <w:divBdr>
        <w:top w:val="none" w:sz="0" w:space="0" w:color="auto"/>
        <w:left w:val="none" w:sz="0" w:space="0" w:color="auto"/>
        <w:bottom w:val="none" w:sz="0" w:space="0" w:color="auto"/>
        <w:right w:val="none" w:sz="0" w:space="0" w:color="auto"/>
      </w:divBdr>
    </w:div>
    <w:div w:id="484931519">
      <w:bodyDiv w:val="1"/>
      <w:marLeft w:val="0"/>
      <w:marRight w:val="0"/>
      <w:marTop w:val="0"/>
      <w:marBottom w:val="0"/>
      <w:divBdr>
        <w:top w:val="none" w:sz="0" w:space="0" w:color="auto"/>
        <w:left w:val="none" w:sz="0" w:space="0" w:color="auto"/>
        <w:bottom w:val="none" w:sz="0" w:space="0" w:color="auto"/>
        <w:right w:val="none" w:sz="0" w:space="0" w:color="auto"/>
      </w:divBdr>
    </w:div>
    <w:div w:id="496649652">
      <w:bodyDiv w:val="1"/>
      <w:marLeft w:val="0"/>
      <w:marRight w:val="0"/>
      <w:marTop w:val="0"/>
      <w:marBottom w:val="0"/>
      <w:divBdr>
        <w:top w:val="none" w:sz="0" w:space="0" w:color="auto"/>
        <w:left w:val="none" w:sz="0" w:space="0" w:color="auto"/>
        <w:bottom w:val="none" w:sz="0" w:space="0" w:color="auto"/>
        <w:right w:val="none" w:sz="0" w:space="0" w:color="auto"/>
      </w:divBdr>
    </w:div>
    <w:div w:id="504588431">
      <w:bodyDiv w:val="1"/>
      <w:marLeft w:val="0"/>
      <w:marRight w:val="0"/>
      <w:marTop w:val="0"/>
      <w:marBottom w:val="0"/>
      <w:divBdr>
        <w:top w:val="none" w:sz="0" w:space="0" w:color="auto"/>
        <w:left w:val="none" w:sz="0" w:space="0" w:color="auto"/>
        <w:bottom w:val="none" w:sz="0" w:space="0" w:color="auto"/>
        <w:right w:val="none" w:sz="0" w:space="0" w:color="auto"/>
      </w:divBdr>
    </w:div>
    <w:div w:id="534345013">
      <w:bodyDiv w:val="1"/>
      <w:marLeft w:val="0"/>
      <w:marRight w:val="0"/>
      <w:marTop w:val="0"/>
      <w:marBottom w:val="0"/>
      <w:divBdr>
        <w:top w:val="none" w:sz="0" w:space="0" w:color="auto"/>
        <w:left w:val="none" w:sz="0" w:space="0" w:color="auto"/>
        <w:bottom w:val="none" w:sz="0" w:space="0" w:color="auto"/>
        <w:right w:val="none" w:sz="0" w:space="0" w:color="auto"/>
      </w:divBdr>
    </w:div>
    <w:div w:id="541595920">
      <w:bodyDiv w:val="1"/>
      <w:marLeft w:val="0"/>
      <w:marRight w:val="0"/>
      <w:marTop w:val="0"/>
      <w:marBottom w:val="0"/>
      <w:divBdr>
        <w:top w:val="none" w:sz="0" w:space="0" w:color="auto"/>
        <w:left w:val="none" w:sz="0" w:space="0" w:color="auto"/>
        <w:bottom w:val="none" w:sz="0" w:space="0" w:color="auto"/>
        <w:right w:val="none" w:sz="0" w:space="0" w:color="auto"/>
      </w:divBdr>
    </w:div>
    <w:div w:id="555047382">
      <w:bodyDiv w:val="1"/>
      <w:marLeft w:val="0"/>
      <w:marRight w:val="0"/>
      <w:marTop w:val="0"/>
      <w:marBottom w:val="0"/>
      <w:divBdr>
        <w:top w:val="none" w:sz="0" w:space="0" w:color="auto"/>
        <w:left w:val="none" w:sz="0" w:space="0" w:color="auto"/>
        <w:bottom w:val="none" w:sz="0" w:space="0" w:color="auto"/>
        <w:right w:val="none" w:sz="0" w:space="0" w:color="auto"/>
      </w:divBdr>
    </w:div>
    <w:div w:id="560092212">
      <w:bodyDiv w:val="1"/>
      <w:marLeft w:val="0"/>
      <w:marRight w:val="0"/>
      <w:marTop w:val="0"/>
      <w:marBottom w:val="0"/>
      <w:divBdr>
        <w:top w:val="none" w:sz="0" w:space="0" w:color="auto"/>
        <w:left w:val="none" w:sz="0" w:space="0" w:color="auto"/>
        <w:bottom w:val="none" w:sz="0" w:space="0" w:color="auto"/>
        <w:right w:val="none" w:sz="0" w:space="0" w:color="auto"/>
      </w:divBdr>
    </w:div>
    <w:div w:id="560487160">
      <w:bodyDiv w:val="1"/>
      <w:marLeft w:val="0"/>
      <w:marRight w:val="0"/>
      <w:marTop w:val="0"/>
      <w:marBottom w:val="0"/>
      <w:divBdr>
        <w:top w:val="none" w:sz="0" w:space="0" w:color="auto"/>
        <w:left w:val="none" w:sz="0" w:space="0" w:color="auto"/>
        <w:bottom w:val="none" w:sz="0" w:space="0" w:color="auto"/>
        <w:right w:val="none" w:sz="0" w:space="0" w:color="auto"/>
      </w:divBdr>
    </w:div>
    <w:div w:id="562561924">
      <w:bodyDiv w:val="1"/>
      <w:marLeft w:val="0"/>
      <w:marRight w:val="0"/>
      <w:marTop w:val="0"/>
      <w:marBottom w:val="0"/>
      <w:divBdr>
        <w:top w:val="none" w:sz="0" w:space="0" w:color="auto"/>
        <w:left w:val="none" w:sz="0" w:space="0" w:color="auto"/>
        <w:bottom w:val="none" w:sz="0" w:space="0" w:color="auto"/>
        <w:right w:val="none" w:sz="0" w:space="0" w:color="auto"/>
      </w:divBdr>
    </w:div>
    <w:div w:id="578904569">
      <w:bodyDiv w:val="1"/>
      <w:marLeft w:val="0"/>
      <w:marRight w:val="0"/>
      <w:marTop w:val="0"/>
      <w:marBottom w:val="0"/>
      <w:divBdr>
        <w:top w:val="none" w:sz="0" w:space="0" w:color="auto"/>
        <w:left w:val="none" w:sz="0" w:space="0" w:color="auto"/>
        <w:bottom w:val="none" w:sz="0" w:space="0" w:color="auto"/>
        <w:right w:val="none" w:sz="0" w:space="0" w:color="auto"/>
      </w:divBdr>
    </w:div>
    <w:div w:id="583345807">
      <w:bodyDiv w:val="1"/>
      <w:marLeft w:val="0"/>
      <w:marRight w:val="0"/>
      <w:marTop w:val="0"/>
      <w:marBottom w:val="0"/>
      <w:divBdr>
        <w:top w:val="none" w:sz="0" w:space="0" w:color="auto"/>
        <w:left w:val="none" w:sz="0" w:space="0" w:color="auto"/>
        <w:bottom w:val="none" w:sz="0" w:space="0" w:color="auto"/>
        <w:right w:val="none" w:sz="0" w:space="0" w:color="auto"/>
      </w:divBdr>
    </w:div>
    <w:div w:id="588151091">
      <w:bodyDiv w:val="1"/>
      <w:marLeft w:val="0"/>
      <w:marRight w:val="0"/>
      <w:marTop w:val="0"/>
      <w:marBottom w:val="0"/>
      <w:divBdr>
        <w:top w:val="none" w:sz="0" w:space="0" w:color="auto"/>
        <w:left w:val="none" w:sz="0" w:space="0" w:color="auto"/>
        <w:bottom w:val="none" w:sz="0" w:space="0" w:color="auto"/>
        <w:right w:val="none" w:sz="0" w:space="0" w:color="auto"/>
      </w:divBdr>
    </w:div>
    <w:div w:id="612591598">
      <w:bodyDiv w:val="1"/>
      <w:marLeft w:val="0"/>
      <w:marRight w:val="0"/>
      <w:marTop w:val="0"/>
      <w:marBottom w:val="0"/>
      <w:divBdr>
        <w:top w:val="none" w:sz="0" w:space="0" w:color="auto"/>
        <w:left w:val="none" w:sz="0" w:space="0" w:color="auto"/>
        <w:bottom w:val="none" w:sz="0" w:space="0" w:color="auto"/>
        <w:right w:val="none" w:sz="0" w:space="0" w:color="auto"/>
      </w:divBdr>
    </w:div>
    <w:div w:id="640615534">
      <w:bodyDiv w:val="1"/>
      <w:marLeft w:val="0"/>
      <w:marRight w:val="0"/>
      <w:marTop w:val="0"/>
      <w:marBottom w:val="0"/>
      <w:divBdr>
        <w:top w:val="none" w:sz="0" w:space="0" w:color="auto"/>
        <w:left w:val="none" w:sz="0" w:space="0" w:color="auto"/>
        <w:bottom w:val="none" w:sz="0" w:space="0" w:color="auto"/>
        <w:right w:val="none" w:sz="0" w:space="0" w:color="auto"/>
      </w:divBdr>
    </w:div>
    <w:div w:id="661616716">
      <w:bodyDiv w:val="1"/>
      <w:marLeft w:val="0"/>
      <w:marRight w:val="0"/>
      <w:marTop w:val="0"/>
      <w:marBottom w:val="0"/>
      <w:divBdr>
        <w:top w:val="none" w:sz="0" w:space="0" w:color="auto"/>
        <w:left w:val="none" w:sz="0" w:space="0" w:color="auto"/>
        <w:bottom w:val="none" w:sz="0" w:space="0" w:color="auto"/>
        <w:right w:val="none" w:sz="0" w:space="0" w:color="auto"/>
      </w:divBdr>
    </w:div>
    <w:div w:id="667563067">
      <w:bodyDiv w:val="1"/>
      <w:marLeft w:val="0"/>
      <w:marRight w:val="0"/>
      <w:marTop w:val="0"/>
      <w:marBottom w:val="0"/>
      <w:divBdr>
        <w:top w:val="none" w:sz="0" w:space="0" w:color="auto"/>
        <w:left w:val="none" w:sz="0" w:space="0" w:color="auto"/>
        <w:bottom w:val="none" w:sz="0" w:space="0" w:color="auto"/>
        <w:right w:val="none" w:sz="0" w:space="0" w:color="auto"/>
      </w:divBdr>
    </w:div>
    <w:div w:id="676737015">
      <w:bodyDiv w:val="1"/>
      <w:marLeft w:val="0"/>
      <w:marRight w:val="0"/>
      <w:marTop w:val="0"/>
      <w:marBottom w:val="0"/>
      <w:divBdr>
        <w:top w:val="none" w:sz="0" w:space="0" w:color="auto"/>
        <w:left w:val="none" w:sz="0" w:space="0" w:color="auto"/>
        <w:bottom w:val="none" w:sz="0" w:space="0" w:color="auto"/>
        <w:right w:val="none" w:sz="0" w:space="0" w:color="auto"/>
      </w:divBdr>
    </w:div>
    <w:div w:id="688533161">
      <w:bodyDiv w:val="1"/>
      <w:marLeft w:val="0"/>
      <w:marRight w:val="0"/>
      <w:marTop w:val="0"/>
      <w:marBottom w:val="0"/>
      <w:divBdr>
        <w:top w:val="none" w:sz="0" w:space="0" w:color="auto"/>
        <w:left w:val="none" w:sz="0" w:space="0" w:color="auto"/>
        <w:bottom w:val="none" w:sz="0" w:space="0" w:color="auto"/>
        <w:right w:val="none" w:sz="0" w:space="0" w:color="auto"/>
      </w:divBdr>
    </w:div>
    <w:div w:id="693387625">
      <w:bodyDiv w:val="1"/>
      <w:marLeft w:val="0"/>
      <w:marRight w:val="0"/>
      <w:marTop w:val="0"/>
      <w:marBottom w:val="0"/>
      <w:divBdr>
        <w:top w:val="none" w:sz="0" w:space="0" w:color="auto"/>
        <w:left w:val="none" w:sz="0" w:space="0" w:color="auto"/>
        <w:bottom w:val="none" w:sz="0" w:space="0" w:color="auto"/>
        <w:right w:val="none" w:sz="0" w:space="0" w:color="auto"/>
      </w:divBdr>
    </w:div>
    <w:div w:id="723992503">
      <w:bodyDiv w:val="1"/>
      <w:marLeft w:val="0"/>
      <w:marRight w:val="0"/>
      <w:marTop w:val="0"/>
      <w:marBottom w:val="0"/>
      <w:divBdr>
        <w:top w:val="none" w:sz="0" w:space="0" w:color="auto"/>
        <w:left w:val="none" w:sz="0" w:space="0" w:color="auto"/>
        <w:bottom w:val="none" w:sz="0" w:space="0" w:color="auto"/>
        <w:right w:val="none" w:sz="0" w:space="0" w:color="auto"/>
      </w:divBdr>
    </w:div>
    <w:div w:id="728698559">
      <w:bodyDiv w:val="1"/>
      <w:marLeft w:val="0"/>
      <w:marRight w:val="0"/>
      <w:marTop w:val="0"/>
      <w:marBottom w:val="0"/>
      <w:divBdr>
        <w:top w:val="none" w:sz="0" w:space="0" w:color="auto"/>
        <w:left w:val="none" w:sz="0" w:space="0" w:color="auto"/>
        <w:bottom w:val="none" w:sz="0" w:space="0" w:color="auto"/>
        <w:right w:val="none" w:sz="0" w:space="0" w:color="auto"/>
      </w:divBdr>
    </w:div>
    <w:div w:id="748380146">
      <w:bodyDiv w:val="1"/>
      <w:marLeft w:val="0"/>
      <w:marRight w:val="0"/>
      <w:marTop w:val="0"/>
      <w:marBottom w:val="0"/>
      <w:divBdr>
        <w:top w:val="none" w:sz="0" w:space="0" w:color="auto"/>
        <w:left w:val="none" w:sz="0" w:space="0" w:color="auto"/>
        <w:bottom w:val="none" w:sz="0" w:space="0" w:color="auto"/>
        <w:right w:val="none" w:sz="0" w:space="0" w:color="auto"/>
      </w:divBdr>
    </w:div>
    <w:div w:id="773749880">
      <w:bodyDiv w:val="1"/>
      <w:marLeft w:val="0"/>
      <w:marRight w:val="0"/>
      <w:marTop w:val="0"/>
      <w:marBottom w:val="0"/>
      <w:divBdr>
        <w:top w:val="none" w:sz="0" w:space="0" w:color="auto"/>
        <w:left w:val="none" w:sz="0" w:space="0" w:color="auto"/>
        <w:bottom w:val="none" w:sz="0" w:space="0" w:color="auto"/>
        <w:right w:val="none" w:sz="0" w:space="0" w:color="auto"/>
      </w:divBdr>
    </w:div>
    <w:div w:id="779450537">
      <w:bodyDiv w:val="1"/>
      <w:marLeft w:val="0"/>
      <w:marRight w:val="0"/>
      <w:marTop w:val="0"/>
      <w:marBottom w:val="0"/>
      <w:divBdr>
        <w:top w:val="none" w:sz="0" w:space="0" w:color="auto"/>
        <w:left w:val="none" w:sz="0" w:space="0" w:color="auto"/>
        <w:bottom w:val="none" w:sz="0" w:space="0" w:color="auto"/>
        <w:right w:val="none" w:sz="0" w:space="0" w:color="auto"/>
      </w:divBdr>
    </w:div>
    <w:div w:id="780489050">
      <w:bodyDiv w:val="1"/>
      <w:marLeft w:val="0"/>
      <w:marRight w:val="0"/>
      <w:marTop w:val="0"/>
      <w:marBottom w:val="0"/>
      <w:divBdr>
        <w:top w:val="none" w:sz="0" w:space="0" w:color="auto"/>
        <w:left w:val="none" w:sz="0" w:space="0" w:color="auto"/>
        <w:bottom w:val="none" w:sz="0" w:space="0" w:color="auto"/>
        <w:right w:val="none" w:sz="0" w:space="0" w:color="auto"/>
      </w:divBdr>
    </w:div>
    <w:div w:id="786582359">
      <w:bodyDiv w:val="1"/>
      <w:marLeft w:val="0"/>
      <w:marRight w:val="0"/>
      <w:marTop w:val="0"/>
      <w:marBottom w:val="0"/>
      <w:divBdr>
        <w:top w:val="none" w:sz="0" w:space="0" w:color="auto"/>
        <w:left w:val="none" w:sz="0" w:space="0" w:color="auto"/>
        <w:bottom w:val="none" w:sz="0" w:space="0" w:color="auto"/>
        <w:right w:val="none" w:sz="0" w:space="0" w:color="auto"/>
      </w:divBdr>
    </w:div>
    <w:div w:id="794257521">
      <w:bodyDiv w:val="1"/>
      <w:marLeft w:val="0"/>
      <w:marRight w:val="0"/>
      <w:marTop w:val="0"/>
      <w:marBottom w:val="0"/>
      <w:divBdr>
        <w:top w:val="none" w:sz="0" w:space="0" w:color="auto"/>
        <w:left w:val="none" w:sz="0" w:space="0" w:color="auto"/>
        <w:bottom w:val="none" w:sz="0" w:space="0" w:color="auto"/>
        <w:right w:val="none" w:sz="0" w:space="0" w:color="auto"/>
      </w:divBdr>
    </w:div>
    <w:div w:id="799955169">
      <w:bodyDiv w:val="1"/>
      <w:marLeft w:val="0"/>
      <w:marRight w:val="0"/>
      <w:marTop w:val="0"/>
      <w:marBottom w:val="0"/>
      <w:divBdr>
        <w:top w:val="none" w:sz="0" w:space="0" w:color="auto"/>
        <w:left w:val="none" w:sz="0" w:space="0" w:color="auto"/>
        <w:bottom w:val="none" w:sz="0" w:space="0" w:color="auto"/>
        <w:right w:val="none" w:sz="0" w:space="0" w:color="auto"/>
      </w:divBdr>
    </w:div>
    <w:div w:id="801534442">
      <w:bodyDiv w:val="1"/>
      <w:marLeft w:val="0"/>
      <w:marRight w:val="0"/>
      <w:marTop w:val="0"/>
      <w:marBottom w:val="0"/>
      <w:divBdr>
        <w:top w:val="none" w:sz="0" w:space="0" w:color="auto"/>
        <w:left w:val="none" w:sz="0" w:space="0" w:color="auto"/>
        <w:bottom w:val="none" w:sz="0" w:space="0" w:color="auto"/>
        <w:right w:val="none" w:sz="0" w:space="0" w:color="auto"/>
      </w:divBdr>
      <w:divsChild>
        <w:div w:id="1961911945">
          <w:marLeft w:val="1166"/>
          <w:marRight w:val="0"/>
          <w:marTop w:val="96"/>
          <w:marBottom w:val="0"/>
          <w:divBdr>
            <w:top w:val="none" w:sz="0" w:space="0" w:color="auto"/>
            <w:left w:val="none" w:sz="0" w:space="0" w:color="auto"/>
            <w:bottom w:val="none" w:sz="0" w:space="0" w:color="auto"/>
            <w:right w:val="none" w:sz="0" w:space="0" w:color="auto"/>
          </w:divBdr>
        </w:div>
      </w:divsChild>
    </w:div>
    <w:div w:id="820580122">
      <w:bodyDiv w:val="1"/>
      <w:marLeft w:val="0"/>
      <w:marRight w:val="0"/>
      <w:marTop w:val="0"/>
      <w:marBottom w:val="0"/>
      <w:divBdr>
        <w:top w:val="none" w:sz="0" w:space="0" w:color="auto"/>
        <w:left w:val="none" w:sz="0" w:space="0" w:color="auto"/>
        <w:bottom w:val="none" w:sz="0" w:space="0" w:color="auto"/>
        <w:right w:val="none" w:sz="0" w:space="0" w:color="auto"/>
      </w:divBdr>
    </w:div>
    <w:div w:id="834339707">
      <w:bodyDiv w:val="1"/>
      <w:marLeft w:val="0"/>
      <w:marRight w:val="0"/>
      <w:marTop w:val="0"/>
      <w:marBottom w:val="0"/>
      <w:divBdr>
        <w:top w:val="none" w:sz="0" w:space="0" w:color="auto"/>
        <w:left w:val="none" w:sz="0" w:space="0" w:color="auto"/>
        <w:bottom w:val="none" w:sz="0" w:space="0" w:color="auto"/>
        <w:right w:val="none" w:sz="0" w:space="0" w:color="auto"/>
      </w:divBdr>
    </w:div>
    <w:div w:id="858468843">
      <w:bodyDiv w:val="1"/>
      <w:marLeft w:val="0"/>
      <w:marRight w:val="0"/>
      <w:marTop w:val="0"/>
      <w:marBottom w:val="0"/>
      <w:divBdr>
        <w:top w:val="none" w:sz="0" w:space="0" w:color="auto"/>
        <w:left w:val="none" w:sz="0" w:space="0" w:color="auto"/>
        <w:bottom w:val="none" w:sz="0" w:space="0" w:color="auto"/>
        <w:right w:val="none" w:sz="0" w:space="0" w:color="auto"/>
      </w:divBdr>
    </w:div>
    <w:div w:id="890533496">
      <w:bodyDiv w:val="1"/>
      <w:marLeft w:val="0"/>
      <w:marRight w:val="0"/>
      <w:marTop w:val="0"/>
      <w:marBottom w:val="0"/>
      <w:divBdr>
        <w:top w:val="none" w:sz="0" w:space="0" w:color="auto"/>
        <w:left w:val="none" w:sz="0" w:space="0" w:color="auto"/>
        <w:bottom w:val="none" w:sz="0" w:space="0" w:color="auto"/>
        <w:right w:val="none" w:sz="0" w:space="0" w:color="auto"/>
      </w:divBdr>
    </w:div>
    <w:div w:id="920674570">
      <w:bodyDiv w:val="1"/>
      <w:marLeft w:val="0"/>
      <w:marRight w:val="0"/>
      <w:marTop w:val="0"/>
      <w:marBottom w:val="0"/>
      <w:divBdr>
        <w:top w:val="none" w:sz="0" w:space="0" w:color="auto"/>
        <w:left w:val="none" w:sz="0" w:space="0" w:color="auto"/>
        <w:bottom w:val="none" w:sz="0" w:space="0" w:color="auto"/>
        <w:right w:val="none" w:sz="0" w:space="0" w:color="auto"/>
      </w:divBdr>
    </w:div>
    <w:div w:id="924414058">
      <w:bodyDiv w:val="1"/>
      <w:marLeft w:val="0"/>
      <w:marRight w:val="0"/>
      <w:marTop w:val="0"/>
      <w:marBottom w:val="0"/>
      <w:divBdr>
        <w:top w:val="none" w:sz="0" w:space="0" w:color="auto"/>
        <w:left w:val="none" w:sz="0" w:space="0" w:color="auto"/>
        <w:bottom w:val="none" w:sz="0" w:space="0" w:color="auto"/>
        <w:right w:val="none" w:sz="0" w:space="0" w:color="auto"/>
      </w:divBdr>
    </w:div>
    <w:div w:id="941297950">
      <w:bodyDiv w:val="1"/>
      <w:marLeft w:val="0"/>
      <w:marRight w:val="0"/>
      <w:marTop w:val="0"/>
      <w:marBottom w:val="0"/>
      <w:divBdr>
        <w:top w:val="none" w:sz="0" w:space="0" w:color="auto"/>
        <w:left w:val="none" w:sz="0" w:space="0" w:color="auto"/>
        <w:bottom w:val="none" w:sz="0" w:space="0" w:color="auto"/>
        <w:right w:val="none" w:sz="0" w:space="0" w:color="auto"/>
      </w:divBdr>
    </w:div>
    <w:div w:id="941688065">
      <w:bodyDiv w:val="1"/>
      <w:marLeft w:val="0"/>
      <w:marRight w:val="0"/>
      <w:marTop w:val="0"/>
      <w:marBottom w:val="0"/>
      <w:divBdr>
        <w:top w:val="none" w:sz="0" w:space="0" w:color="auto"/>
        <w:left w:val="none" w:sz="0" w:space="0" w:color="auto"/>
        <w:bottom w:val="none" w:sz="0" w:space="0" w:color="auto"/>
        <w:right w:val="none" w:sz="0" w:space="0" w:color="auto"/>
      </w:divBdr>
    </w:div>
    <w:div w:id="952984219">
      <w:bodyDiv w:val="1"/>
      <w:marLeft w:val="0"/>
      <w:marRight w:val="0"/>
      <w:marTop w:val="0"/>
      <w:marBottom w:val="0"/>
      <w:divBdr>
        <w:top w:val="none" w:sz="0" w:space="0" w:color="auto"/>
        <w:left w:val="none" w:sz="0" w:space="0" w:color="auto"/>
        <w:bottom w:val="none" w:sz="0" w:space="0" w:color="auto"/>
        <w:right w:val="none" w:sz="0" w:space="0" w:color="auto"/>
      </w:divBdr>
      <w:divsChild>
        <w:div w:id="102505752">
          <w:marLeft w:val="0"/>
          <w:marRight w:val="0"/>
          <w:marTop w:val="0"/>
          <w:marBottom w:val="0"/>
          <w:divBdr>
            <w:top w:val="none" w:sz="0" w:space="0" w:color="auto"/>
            <w:left w:val="none" w:sz="0" w:space="0" w:color="auto"/>
            <w:bottom w:val="none" w:sz="0" w:space="0" w:color="auto"/>
            <w:right w:val="none" w:sz="0" w:space="0" w:color="auto"/>
          </w:divBdr>
          <w:divsChild>
            <w:div w:id="548690894">
              <w:marLeft w:val="0"/>
              <w:marRight w:val="0"/>
              <w:marTop w:val="0"/>
              <w:marBottom w:val="0"/>
              <w:divBdr>
                <w:top w:val="none" w:sz="0" w:space="0" w:color="auto"/>
                <w:left w:val="none" w:sz="0" w:space="0" w:color="auto"/>
                <w:bottom w:val="none" w:sz="0" w:space="0" w:color="auto"/>
                <w:right w:val="none" w:sz="0" w:space="0" w:color="auto"/>
              </w:divBdr>
              <w:divsChild>
                <w:div w:id="757410783">
                  <w:marLeft w:val="0"/>
                  <w:marRight w:val="0"/>
                  <w:marTop w:val="0"/>
                  <w:marBottom w:val="0"/>
                  <w:divBdr>
                    <w:top w:val="none" w:sz="0" w:space="0" w:color="auto"/>
                    <w:left w:val="none" w:sz="0" w:space="0" w:color="auto"/>
                    <w:bottom w:val="none" w:sz="0" w:space="0" w:color="auto"/>
                    <w:right w:val="none" w:sz="0" w:space="0" w:color="auto"/>
                  </w:divBdr>
                  <w:divsChild>
                    <w:div w:id="122964895">
                      <w:marLeft w:val="150"/>
                      <w:marRight w:val="150"/>
                      <w:marTop w:val="0"/>
                      <w:marBottom w:val="0"/>
                      <w:divBdr>
                        <w:top w:val="none" w:sz="0" w:space="0" w:color="auto"/>
                        <w:left w:val="none" w:sz="0" w:space="0" w:color="auto"/>
                        <w:bottom w:val="none" w:sz="0" w:space="0" w:color="auto"/>
                        <w:right w:val="none" w:sz="0" w:space="0" w:color="auto"/>
                      </w:divBdr>
                      <w:divsChild>
                        <w:div w:id="1139037757">
                          <w:marLeft w:val="0"/>
                          <w:marRight w:val="0"/>
                          <w:marTop w:val="0"/>
                          <w:marBottom w:val="0"/>
                          <w:divBdr>
                            <w:top w:val="none" w:sz="0" w:space="0" w:color="auto"/>
                            <w:left w:val="none" w:sz="0" w:space="0" w:color="auto"/>
                            <w:bottom w:val="none" w:sz="0" w:space="0" w:color="auto"/>
                            <w:right w:val="none" w:sz="0" w:space="0" w:color="auto"/>
                          </w:divBdr>
                          <w:divsChild>
                            <w:div w:id="62486435">
                              <w:marLeft w:val="0"/>
                              <w:marRight w:val="0"/>
                              <w:marTop w:val="0"/>
                              <w:marBottom w:val="0"/>
                              <w:divBdr>
                                <w:top w:val="none" w:sz="0" w:space="0" w:color="auto"/>
                                <w:left w:val="none" w:sz="0" w:space="0" w:color="auto"/>
                                <w:bottom w:val="none" w:sz="0" w:space="0" w:color="auto"/>
                                <w:right w:val="none" w:sz="0" w:space="0" w:color="auto"/>
                              </w:divBdr>
                              <w:divsChild>
                                <w:div w:id="859439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152080">
      <w:bodyDiv w:val="1"/>
      <w:marLeft w:val="0"/>
      <w:marRight w:val="0"/>
      <w:marTop w:val="0"/>
      <w:marBottom w:val="0"/>
      <w:divBdr>
        <w:top w:val="none" w:sz="0" w:space="0" w:color="auto"/>
        <w:left w:val="none" w:sz="0" w:space="0" w:color="auto"/>
        <w:bottom w:val="none" w:sz="0" w:space="0" w:color="auto"/>
        <w:right w:val="none" w:sz="0" w:space="0" w:color="auto"/>
      </w:divBdr>
    </w:div>
    <w:div w:id="1033850051">
      <w:bodyDiv w:val="1"/>
      <w:marLeft w:val="0"/>
      <w:marRight w:val="0"/>
      <w:marTop w:val="0"/>
      <w:marBottom w:val="0"/>
      <w:divBdr>
        <w:top w:val="none" w:sz="0" w:space="0" w:color="auto"/>
        <w:left w:val="none" w:sz="0" w:space="0" w:color="auto"/>
        <w:bottom w:val="none" w:sz="0" w:space="0" w:color="auto"/>
        <w:right w:val="none" w:sz="0" w:space="0" w:color="auto"/>
      </w:divBdr>
    </w:div>
    <w:div w:id="1038240186">
      <w:bodyDiv w:val="1"/>
      <w:marLeft w:val="0"/>
      <w:marRight w:val="0"/>
      <w:marTop w:val="0"/>
      <w:marBottom w:val="0"/>
      <w:divBdr>
        <w:top w:val="none" w:sz="0" w:space="0" w:color="auto"/>
        <w:left w:val="none" w:sz="0" w:space="0" w:color="auto"/>
        <w:bottom w:val="none" w:sz="0" w:space="0" w:color="auto"/>
        <w:right w:val="none" w:sz="0" w:space="0" w:color="auto"/>
      </w:divBdr>
    </w:div>
    <w:div w:id="1049761544">
      <w:bodyDiv w:val="1"/>
      <w:marLeft w:val="0"/>
      <w:marRight w:val="0"/>
      <w:marTop w:val="0"/>
      <w:marBottom w:val="0"/>
      <w:divBdr>
        <w:top w:val="none" w:sz="0" w:space="0" w:color="auto"/>
        <w:left w:val="none" w:sz="0" w:space="0" w:color="auto"/>
        <w:bottom w:val="none" w:sz="0" w:space="0" w:color="auto"/>
        <w:right w:val="none" w:sz="0" w:space="0" w:color="auto"/>
      </w:divBdr>
    </w:div>
    <w:div w:id="1050497702">
      <w:bodyDiv w:val="1"/>
      <w:marLeft w:val="0"/>
      <w:marRight w:val="0"/>
      <w:marTop w:val="0"/>
      <w:marBottom w:val="0"/>
      <w:divBdr>
        <w:top w:val="none" w:sz="0" w:space="0" w:color="auto"/>
        <w:left w:val="none" w:sz="0" w:space="0" w:color="auto"/>
        <w:bottom w:val="none" w:sz="0" w:space="0" w:color="auto"/>
        <w:right w:val="none" w:sz="0" w:space="0" w:color="auto"/>
      </w:divBdr>
    </w:div>
    <w:div w:id="1074472888">
      <w:bodyDiv w:val="1"/>
      <w:marLeft w:val="0"/>
      <w:marRight w:val="0"/>
      <w:marTop w:val="0"/>
      <w:marBottom w:val="0"/>
      <w:divBdr>
        <w:top w:val="none" w:sz="0" w:space="0" w:color="auto"/>
        <w:left w:val="none" w:sz="0" w:space="0" w:color="auto"/>
        <w:bottom w:val="none" w:sz="0" w:space="0" w:color="auto"/>
        <w:right w:val="none" w:sz="0" w:space="0" w:color="auto"/>
      </w:divBdr>
    </w:div>
    <w:div w:id="1085997293">
      <w:bodyDiv w:val="1"/>
      <w:marLeft w:val="0"/>
      <w:marRight w:val="0"/>
      <w:marTop w:val="0"/>
      <w:marBottom w:val="0"/>
      <w:divBdr>
        <w:top w:val="none" w:sz="0" w:space="0" w:color="auto"/>
        <w:left w:val="none" w:sz="0" w:space="0" w:color="auto"/>
        <w:bottom w:val="none" w:sz="0" w:space="0" w:color="auto"/>
        <w:right w:val="none" w:sz="0" w:space="0" w:color="auto"/>
      </w:divBdr>
    </w:div>
    <w:div w:id="1086734136">
      <w:bodyDiv w:val="1"/>
      <w:marLeft w:val="0"/>
      <w:marRight w:val="0"/>
      <w:marTop w:val="0"/>
      <w:marBottom w:val="0"/>
      <w:divBdr>
        <w:top w:val="none" w:sz="0" w:space="0" w:color="auto"/>
        <w:left w:val="none" w:sz="0" w:space="0" w:color="auto"/>
        <w:bottom w:val="none" w:sz="0" w:space="0" w:color="auto"/>
        <w:right w:val="none" w:sz="0" w:space="0" w:color="auto"/>
      </w:divBdr>
    </w:div>
    <w:div w:id="1098058066">
      <w:bodyDiv w:val="1"/>
      <w:marLeft w:val="0"/>
      <w:marRight w:val="0"/>
      <w:marTop w:val="0"/>
      <w:marBottom w:val="0"/>
      <w:divBdr>
        <w:top w:val="none" w:sz="0" w:space="0" w:color="auto"/>
        <w:left w:val="none" w:sz="0" w:space="0" w:color="auto"/>
        <w:bottom w:val="none" w:sz="0" w:space="0" w:color="auto"/>
        <w:right w:val="none" w:sz="0" w:space="0" w:color="auto"/>
      </w:divBdr>
    </w:div>
    <w:div w:id="1110130754">
      <w:bodyDiv w:val="1"/>
      <w:marLeft w:val="0"/>
      <w:marRight w:val="0"/>
      <w:marTop w:val="0"/>
      <w:marBottom w:val="0"/>
      <w:divBdr>
        <w:top w:val="none" w:sz="0" w:space="0" w:color="auto"/>
        <w:left w:val="none" w:sz="0" w:space="0" w:color="auto"/>
        <w:bottom w:val="none" w:sz="0" w:space="0" w:color="auto"/>
        <w:right w:val="none" w:sz="0" w:space="0" w:color="auto"/>
      </w:divBdr>
    </w:div>
    <w:div w:id="1112751759">
      <w:bodyDiv w:val="1"/>
      <w:marLeft w:val="0"/>
      <w:marRight w:val="0"/>
      <w:marTop w:val="0"/>
      <w:marBottom w:val="0"/>
      <w:divBdr>
        <w:top w:val="none" w:sz="0" w:space="0" w:color="auto"/>
        <w:left w:val="none" w:sz="0" w:space="0" w:color="auto"/>
        <w:bottom w:val="none" w:sz="0" w:space="0" w:color="auto"/>
        <w:right w:val="none" w:sz="0" w:space="0" w:color="auto"/>
      </w:divBdr>
    </w:div>
    <w:div w:id="1113595632">
      <w:bodyDiv w:val="1"/>
      <w:marLeft w:val="0"/>
      <w:marRight w:val="0"/>
      <w:marTop w:val="0"/>
      <w:marBottom w:val="0"/>
      <w:divBdr>
        <w:top w:val="none" w:sz="0" w:space="0" w:color="auto"/>
        <w:left w:val="none" w:sz="0" w:space="0" w:color="auto"/>
        <w:bottom w:val="none" w:sz="0" w:space="0" w:color="auto"/>
        <w:right w:val="none" w:sz="0" w:space="0" w:color="auto"/>
      </w:divBdr>
    </w:div>
    <w:div w:id="1125002322">
      <w:bodyDiv w:val="1"/>
      <w:marLeft w:val="0"/>
      <w:marRight w:val="0"/>
      <w:marTop w:val="0"/>
      <w:marBottom w:val="0"/>
      <w:divBdr>
        <w:top w:val="none" w:sz="0" w:space="0" w:color="auto"/>
        <w:left w:val="none" w:sz="0" w:space="0" w:color="auto"/>
        <w:bottom w:val="none" w:sz="0" w:space="0" w:color="auto"/>
        <w:right w:val="none" w:sz="0" w:space="0" w:color="auto"/>
      </w:divBdr>
    </w:div>
    <w:div w:id="1129085789">
      <w:bodyDiv w:val="1"/>
      <w:marLeft w:val="0"/>
      <w:marRight w:val="0"/>
      <w:marTop w:val="0"/>
      <w:marBottom w:val="0"/>
      <w:divBdr>
        <w:top w:val="none" w:sz="0" w:space="0" w:color="auto"/>
        <w:left w:val="none" w:sz="0" w:space="0" w:color="auto"/>
        <w:bottom w:val="none" w:sz="0" w:space="0" w:color="auto"/>
        <w:right w:val="none" w:sz="0" w:space="0" w:color="auto"/>
      </w:divBdr>
    </w:div>
    <w:div w:id="1135951241">
      <w:bodyDiv w:val="1"/>
      <w:marLeft w:val="0"/>
      <w:marRight w:val="0"/>
      <w:marTop w:val="0"/>
      <w:marBottom w:val="0"/>
      <w:divBdr>
        <w:top w:val="none" w:sz="0" w:space="0" w:color="auto"/>
        <w:left w:val="none" w:sz="0" w:space="0" w:color="auto"/>
        <w:bottom w:val="none" w:sz="0" w:space="0" w:color="auto"/>
        <w:right w:val="none" w:sz="0" w:space="0" w:color="auto"/>
      </w:divBdr>
    </w:div>
    <w:div w:id="1160534565">
      <w:bodyDiv w:val="1"/>
      <w:marLeft w:val="0"/>
      <w:marRight w:val="0"/>
      <w:marTop w:val="0"/>
      <w:marBottom w:val="0"/>
      <w:divBdr>
        <w:top w:val="none" w:sz="0" w:space="0" w:color="auto"/>
        <w:left w:val="none" w:sz="0" w:space="0" w:color="auto"/>
        <w:bottom w:val="none" w:sz="0" w:space="0" w:color="auto"/>
        <w:right w:val="none" w:sz="0" w:space="0" w:color="auto"/>
      </w:divBdr>
    </w:div>
    <w:div w:id="1162886685">
      <w:bodyDiv w:val="1"/>
      <w:marLeft w:val="0"/>
      <w:marRight w:val="0"/>
      <w:marTop w:val="0"/>
      <w:marBottom w:val="0"/>
      <w:divBdr>
        <w:top w:val="none" w:sz="0" w:space="0" w:color="auto"/>
        <w:left w:val="none" w:sz="0" w:space="0" w:color="auto"/>
        <w:bottom w:val="none" w:sz="0" w:space="0" w:color="auto"/>
        <w:right w:val="none" w:sz="0" w:space="0" w:color="auto"/>
      </w:divBdr>
    </w:div>
    <w:div w:id="1192188899">
      <w:bodyDiv w:val="1"/>
      <w:marLeft w:val="0"/>
      <w:marRight w:val="0"/>
      <w:marTop w:val="0"/>
      <w:marBottom w:val="0"/>
      <w:divBdr>
        <w:top w:val="none" w:sz="0" w:space="0" w:color="auto"/>
        <w:left w:val="none" w:sz="0" w:space="0" w:color="auto"/>
        <w:bottom w:val="none" w:sz="0" w:space="0" w:color="auto"/>
        <w:right w:val="none" w:sz="0" w:space="0" w:color="auto"/>
      </w:divBdr>
    </w:div>
    <w:div w:id="1203402626">
      <w:bodyDiv w:val="1"/>
      <w:marLeft w:val="0"/>
      <w:marRight w:val="0"/>
      <w:marTop w:val="0"/>
      <w:marBottom w:val="0"/>
      <w:divBdr>
        <w:top w:val="none" w:sz="0" w:space="0" w:color="auto"/>
        <w:left w:val="none" w:sz="0" w:space="0" w:color="auto"/>
        <w:bottom w:val="none" w:sz="0" w:space="0" w:color="auto"/>
        <w:right w:val="none" w:sz="0" w:space="0" w:color="auto"/>
      </w:divBdr>
    </w:div>
    <w:div w:id="1208760937">
      <w:bodyDiv w:val="1"/>
      <w:marLeft w:val="0"/>
      <w:marRight w:val="0"/>
      <w:marTop w:val="0"/>
      <w:marBottom w:val="0"/>
      <w:divBdr>
        <w:top w:val="none" w:sz="0" w:space="0" w:color="auto"/>
        <w:left w:val="none" w:sz="0" w:space="0" w:color="auto"/>
        <w:bottom w:val="none" w:sz="0" w:space="0" w:color="auto"/>
        <w:right w:val="none" w:sz="0" w:space="0" w:color="auto"/>
      </w:divBdr>
    </w:div>
    <w:div w:id="1216894287">
      <w:bodyDiv w:val="1"/>
      <w:marLeft w:val="0"/>
      <w:marRight w:val="0"/>
      <w:marTop w:val="0"/>
      <w:marBottom w:val="0"/>
      <w:divBdr>
        <w:top w:val="none" w:sz="0" w:space="0" w:color="auto"/>
        <w:left w:val="none" w:sz="0" w:space="0" w:color="auto"/>
        <w:bottom w:val="none" w:sz="0" w:space="0" w:color="auto"/>
        <w:right w:val="none" w:sz="0" w:space="0" w:color="auto"/>
      </w:divBdr>
    </w:div>
    <w:div w:id="1236861628">
      <w:bodyDiv w:val="1"/>
      <w:marLeft w:val="0"/>
      <w:marRight w:val="0"/>
      <w:marTop w:val="0"/>
      <w:marBottom w:val="0"/>
      <w:divBdr>
        <w:top w:val="none" w:sz="0" w:space="0" w:color="auto"/>
        <w:left w:val="none" w:sz="0" w:space="0" w:color="auto"/>
        <w:bottom w:val="none" w:sz="0" w:space="0" w:color="auto"/>
        <w:right w:val="none" w:sz="0" w:space="0" w:color="auto"/>
      </w:divBdr>
    </w:div>
    <w:div w:id="1241646250">
      <w:bodyDiv w:val="1"/>
      <w:marLeft w:val="0"/>
      <w:marRight w:val="0"/>
      <w:marTop w:val="0"/>
      <w:marBottom w:val="0"/>
      <w:divBdr>
        <w:top w:val="none" w:sz="0" w:space="0" w:color="auto"/>
        <w:left w:val="none" w:sz="0" w:space="0" w:color="auto"/>
        <w:bottom w:val="none" w:sz="0" w:space="0" w:color="auto"/>
        <w:right w:val="none" w:sz="0" w:space="0" w:color="auto"/>
      </w:divBdr>
    </w:div>
    <w:div w:id="1244022157">
      <w:bodyDiv w:val="1"/>
      <w:marLeft w:val="0"/>
      <w:marRight w:val="0"/>
      <w:marTop w:val="0"/>
      <w:marBottom w:val="0"/>
      <w:divBdr>
        <w:top w:val="none" w:sz="0" w:space="0" w:color="auto"/>
        <w:left w:val="none" w:sz="0" w:space="0" w:color="auto"/>
        <w:bottom w:val="none" w:sz="0" w:space="0" w:color="auto"/>
        <w:right w:val="none" w:sz="0" w:space="0" w:color="auto"/>
      </w:divBdr>
    </w:div>
    <w:div w:id="1249002369">
      <w:bodyDiv w:val="1"/>
      <w:marLeft w:val="0"/>
      <w:marRight w:val="0"/>
      <w:marTop w:val="0"/>
      <w:marBottom w:val="0"/>
      <w:divBdr>
        <w:top w:val="none" w:sz="0" w:space="0" w:color="auto"/>
        <w:left w:val="none" w:sz="0" w:space="0" w:color="auto"/>
        <w:bottom w:val="none" w:sz="0" w:space="0" w:color="auto"/>
        <w:right w:val="none" w:sz="0" w:space="0" w:color="auto"/>
      </w:divBdr>
    </w:div>
    <w:div w:id="1257707598">
      <w:bodyDiv w:val="1"/>
      <w:marLeft w:val="0"/>
      <w:marRight w:val="0"/>
      <w:marTop w:val="0"/>
      <w:marBottom w:val="0"/>
      <w:divBdr>
        <w:top w:val="none" w:sz="0" w:space="0" w:color="auto"/>
        <w:left w:val="none" w:sz="0" w:space="0" w:color="auto"/>
        <w:bottom w:val="none" w:sz="0" w:space="0" w:color="auto"/>
        <w:right w:val="none" w:sz="0" w:space="0" w:color="auto"/>
      </w:divBdr>
    </w:div>
    <w:div w:id="1279217843">
      <w:bodyDiv w:val="1"/>
      <w:marLeft w:val="0"/>
      <w:marRight w:val="0"/>
      <w:marTop w:val="0"/>
      <w:marBottom w:val="0"/>
      <w:divBdr>
        <w:top w:val="none" w:sz="0" w:space="0" w:color="auto"/>
        <w:left w:val="none" w:sz="0" w:space="0" w:color="auto"/>
        <w:bottom w:val="none" w:sz="0" w:space="0" w:color="auto"/>
        <w:right w:val="none" w:sz="0" w:space="0" w:color="auto"/>
      </w:divBdr>
    </w:div>
    <w:div w:id="1288705804">
      <w:bodyDiv w:val="1"/>
      <w:marLeft w:val="0"/>
      <w:marRight w:val="0"/>
      <w:marTop w:val="0"/>
      <w:marBottom w:val="0"/>
      <w:divBdr>
        <w:top w:val="none" w:sz="0" w:space="0" w:color="auto"/>
        <w:left w:val="none" w:sz="0" w:space="0" w:color="auto"/>
        <w:bottom w:val="none" w:sz="0" w:space="0" w:color="auto"/>
        <w:right w:val="none" w:sz="0" w:space="0" w:color="auto"/>
      </w:divBdr>
    </w:div>
    <w:div w:id="1290741500">
      <w:bodyDiv w:val="1"/>
      <w:marLeft w:val="0"/>
      <w:marRight w:val="0"/>
      <w:marTop w:val="0"/>
      <w:marBottom w:val="0"/>
      <w:divBdr>
        <w:top w:val="none" w:sz="0" w:space="0" w:color="auto"/>
        <w:left w:val="none" w:sz="0" w:space="0" w:color="auto"/>
        <w:bottom w:val="none" w:sz="0" w:space="0" w:color="auto"/>
        <w:right w:val="none" w:sz="0" w:space="0" w:color="auto"/>
      </w:divBdr>
    </w:div>
    <w:div w:id="1291059828">
      <w:bodyDiv w:val="1"/>
      <w:marLeft w:val="0"/>
      <w:marRight w:val="0"/>
      <w:marTop w:val="0"/>
      <w:marBottom w:val="0"/>
      <w:divBdr>
        <w:top w:val="none" w:sz="0" w:space="0" w:color="auto"/>
        <w:left w:val="none" w:sz="0" w:space="0" w:color="auto"/>
        <w:bottom w:val="none" w:sz="0" w:space="0" w:color="auto"/>
        <w:right w:val="none" w:sz="0" w:space="0" w:color="auto"/>
      </w:divBdr>
    </w:div>
    <w:div w:id="1292437708">
      <w:bodyDiv w:val="1"/>
      <w:marLeft w:val="0"/>
      <w:marRight w:val="0"/>
      <w:marTop w:val="0"/>
      <w:marBottom w:val="0"/>
      <w:divBdr>
        <w:top w:val="none" w:sz="0" w:space="0" w:color="auto"/>
        <w:left w:val="none" w:sz="0" w:space="0" w:color="auto"/>
        <w:bottom w:val="none" w:sz="0" w:space="0" w:color="auto"/>
        <w:right w:val="none" w:sz="0" w:space="0" w:color="auto"/>
      </w:divBdr>
    </w:div>
    <w:div w:id="1293093314">
      <w:bodyDiv w:val="1"/>
      <w:marLeft w:val="0"/>
      <w:marRight w:val="0"/>
      <w:marTop w:val="0"/>
      <w:marBottom w:val="0"/>
      <w:divBdr>
        <w:top w:val="none" w:sz="0" w:space="0" w:color="auto"/>
        <w:left w:val="none" w:sz="0" w:space="0" w:color="auto"/>
        <w:bottom w:val="none" w:sz="0" w:space="0" w:color="auto"/>
        <w:right w:val="none" w:sz="0" w:space="0" w:color="auto"/>
      </w:divBdr>
      <w:divsChild>
        <w:div w:id="94712998">
          <w:marLeft w:val="1166"/>
          <w:marRight w:val="0"/>
          <w:marTop w:val="96"/>
          <w:marBottom w:val="0"/>
          <w:divBdr>
            <w:top w:val="none" w:sz="0" w:space="0" w:color="auto"/>
            <w:left w:val="none" w:sz="0" w:space="0" w:color="auto"/>
            <w:bottom w:val="none" w:sz="0" w:space="0" w:color="auto"/>
            <w:right w:val="none" w:sz="0" w:space="0" w:color="auto"/>
          </w:divBdr>
        </w:div>
      </w:divsChild>
    </w:div>
    <w:div w:id="1301686793">
      <w:bodyDiv w:val="1"/>
      <w:marLeft w:val="0"/>
      <w:marRight w:val="0"/>
      <w:marTop w:val="0"/>
      <w:marBottom w:val="0"/>
      <w:divBdr>
        <w:top w:val="none" w:sz="0" w:space="0" w:color="auto"/>
        <w:left w:val="none" w:sz="0" w:space="0" w:color="auto"/>
        <w:bottom w:val="none" w:sz="0" w:space="0" w:color="auto"/>
        <w:right w:val="none" w:sz="0" w:space="0" w:color="auto"/>
      </w:divBdr>
    </w:div>
    <w:div w:id="1309479001">
      <w:bodyDiv w:val="1"/>
      <w:marLeft w:val="0"/>
      <w:marRight w:val="0"/>
      <w:marTop w:val="0"/>
      <w:marBottom w:val="0"/>
      <w:divBdr>
        <w:top w:val="none" w:sz="0" w:space="0" w:color="auto"/>
        <w:left w:val="none" w:sz="0" w:space="0" w:color="auto"/>
        <w:bottom w:val="none" w:sz="0" w:space="0" w:color="auto"/>
        <w:right w:val="none" w:sz="0" w:space="0" w:color="auto"/>
      </w:divBdr>
    </w:div>
    <w:div w:id="1314408192">
      <w:bodyDiv w:val="1"/>
      <w:marLeft w:val="0"/>
      <w:marRight w:val="0"/>
      <w:marTop w:val="0"/>
      <w:marBottom w:val="0"/>
      <w:divBdr>
        <w:top w:val="none" w:sz="0" w:space="0" w:color="auto"/>
        <w:left w:val="none" w:sz="0" w:space="0" w:color="auto"/>
        <w:bottom w:val="none" w:sz="0" w:space="0" w:color="auto"/>
        <w:right w:val="none" w:sz="0" w:space="0" w:color="auto"/>
      </w:divBdr>
    </w:div>
    <w:div w:id="1335258344">
      <w:bodyDiv w:val="1"/>
      <w:marLeft w:val="0"/>
      <w:marRight w:val="0"/>
      <w:marTop w:val="0"/>
      <w:marBottom w:val="0"/>
      <w:divBdr>
        <w:top w:val="none" w:sz="0" w:space="0" w:color="auto"/>
        <w:left w:val="none" w:sz="0" w:space="0" w:color="auto"/>
        <w:bottom w:val="none" w:sz="0" w:space="0" w:color="auto"/>
        <w:right w:val="none" w:sz="0" w:space="0" w:color="auto"/>
      </w:divBdr>
    </w:div>
    <w:div w:id="1337222905">
      <w:bodyDiv w:val="1"/>
      <w:marLeft w:val="0"/>
      <w:marRight w:val="0"/>
      <w:marTop w:val="0"/>
      <w:marBottom w:val="0"/>
      <w:divBdr>
        <w:top w:val="none" w:sz="0" w:space="0" w:color="auto"/>
        <w:left w:val="none" w:sz="0" w:space="0" w:color="auto"/>
        <w:bottom w:val="none" w:sz="0" w:space="0" w:color="auto"/>
        <w:right w:val="none" w:sz="0" w:space="0" w:color="auto"/>
      </w:divBdr>
    </w:div>
    <w:div w:id="1382973237">
      <w:bodyDiv w:val="1"/>
      <w:marLeft w:val="0"/>
      <w:marRight w:val="0"/>
      <w:marTop w:val="0"/>
      <w:marBottom w:val="0"/>
      <w:divBdr>
        <w:top w:val="none" w:sz="0" w:space="0" w:color="auto"/>
        <w:left w:val="none" w:sz="0" w:space="0" w:color="auto"/>
        <w:bottom w:val="none" w:sz="0" w:space="0" w:color="auto"/>
        <w:right w:val="none" w:sz="0" w:space="0" w:color="auto"/>
      </w:divBdr>
    </w:div>
    <w:div w:id="1383560865">
      <w:bodyDiv w:val="1"/>
      <w:marLeft w:val="0"/>
      <w:marRight w:val="0"/>
      <w:marTop w:val="0"/>
      <w:marBottom w:val="0"/>
      <w:divBdr>
        <w:top w:val="none" w:sz="0" w:space="0" w:color="auto"/>
        <w:left w:val="none" w:sz="0" w:space="0" w:color="auto"/>
        <w:bottom w:val="none" w:sz="0" w:space="0" w:color="auto"/>
        <w:right w:val="none" w:sz="0" w:space="0" w:color="auto"/>
      </w:divBdr>
    </w:div>
    <w:div w:id="1394886147">
      <w:bodyDiv w:val="1"/>
      <w:marLeft w:val="0"/>
      <w:marRight w:val="0"/>
      <w:marTop w:val="0"/>
      <w:marBottom w:val="0"/>
      <w:divBdr>
        <w:top w:val="none" w:sz="0" w:space="0" w:color="auto"/>
        <w:left w:val="none" w:sz="0" w:space="0" w:color="auto"/>
        <w:bottom w:val="none" w:sz="0" w:space="0" w:color="auto"/>
        <w:right w:val="none" w:sz="0" w:space="0" w:color="auto"/>
      </w:divBdr>
    </w:div>
    <w:div w:id="1395661997">
      <w:bodyDiv w:val="1"/>
      <w:marLeft w:val="0"/>
      <w:marRight w:val="0"/>
      <w:marTop w:val="0"/>
      <w:marBottom w:val="0"/>
      <w:divBdr>
        <w:top w:val="none" w:sz="0" w:space="0" w:color="auto"/>
        <w:left w:val="none" w:sz="0" w:space="0" w:color="auto"/>
        <w:bottom w:val="none" w:sz="0" w:space="0" w:color="auto"/>
        <w:right w:val="none" w:sz="0" w:space="0" w:color="auto"/>
      </w:divBdr>
      <w:divsChild>
        <w:div w:id="672492690">
          <w:marLeft w:val="0"/>
          <w:marRight w:val="0"/>
          <w:marTop w:val="0"/>
          <w:marBottom w:val="0"/>
          <w:divBdr>
            <w:top w:val="none" w:sz="0" w:space="0" w:color="auto"/>
            <w:left w:val="none" w:sz="0" w:space="0" w:color="auto"/>
            <w:bottom w:val="none" w:sz="0" w:space="0" w:color="auto"/>
            <w:right w:val="none" w:sz="0" w:space="0" w:color="auto"/>
          </w:divBdr>
        </w:div>
        <w:div w:id="989019419">
          <w:marLeft w:val="0"/>
          <w:marRight w:val="0"/>
          <w:marTop w:val="0"/>
          <w:marBottom w:val="0"/>
          <w:divBdr>
            <w:top w:val="none" w:sz="0" w:space="0" w:color="auto"/>
            <w:left w:val="none" w:sz="0" w:space="0" w:color="auto"/>
            <w:bottom w:val="none" w:sz="0" w:space="0" w:color="auto"/>
            <w:right w:val="none" w:sz="0" w:space="0" w:color="auto"/>
          </w:divBdr>
        </w:div>
        <w:div w:id="1030953138">
          <w:marLeft w:val="0"/>
          <w:marRight w:val="0"/>
          <w:marTop w:val="0"/>
          <w:marBottom w:val="0"/>
          <w:divBdr>
            <w:top w:val="none" w:sz="0" w:space="0" w:color="auto"/>
            <w:left w:val="none" w:sz="0" w:space="0" w:color="auto"/>
            <w:bottom w:val="none" w:sz="0" w:space="0" w:color="auto"/>
            <w:right w:val="none" w:sz="0" w:space="0" w:color="auto"/>
          </w:divBdr>
        </w:div>
        <w:div w:id="1344943253">
          <w:marLeft w:val="0"/>
          <w:marRight w:val="0"/>
          <w:marTop w:val="0"/>
          <w:marBottom w:val="0"/>
          <w:divBdr>
            <w:top w:val="none" w:sz="0" w:space="0" w:color="auto"/>
            <w:left w:val="none" w:sz="0" w:space="0" w:color="auto"/>
            <w:bottom w:val="none" w:sz="0" w:space="0" w:color="auto"/>
            <w:right w:val="none" w:sz="0" w:space="0" w:color="auto"/>
          </w:divBdr>
        </w:div>
        <w:div w:id="1486892150">
          <w:marLeft w:val="0"/>
          <w:marRight w:val="0"/>
          <w:marTop w:val="0"/>
          <w:marBottom w:val="0"/>
          <w:divBdr>
            <w:top w:val="none" w:sz="0" w:space="0" w:color="auto"/>
            <w:left w:val="none" w:sz="0" w:space="0" w:color="auto"/>
            <w:bottom w:val="none" w:sz="0" w:space="0" w:color="auto"/>
            <w:right w:val="none" w:sz="0" w:space="0" w:color="auto"/>
          </w:divBdr>
        </w:div>
        <w:div w:id="1611669535">
          <w:marLeft w:val="0"/>
          <w:marRight w:val="0"/>
          <w:marTop w:val="0"/>
          <w:marBottom w:val="0"/>
          <w:divBdr>
            <w:top w:val="none" w:sz="0" w:space="0" w:color="auto"/>
            <w:left w:val="none" w:sz="0" w:space="0" w:color="auto"/>
            <w:bottom w:val="none" w:sz="0" w:space="0" w:color="auto"/>
            <w:right w:val="none" w:sz="0" w:space="0" w:color="auto"/>
          </w:divBdr>
        </w:div>
        <w:div w:id="1631739748">
          <w:marLeft w:val="0"/>
          <w:marRight w:val="0"/>
          <w:marTop w:val="0"/>
          <w:marBottom w:val="0"/>
          <w:divBdr>
            <w:top w:val="none" w:sz="0" w:space="0" w:color="auto"/>
            <w:left w:val="none" w:sz="0" w:space="0" w:color="auto"/>
            <w:bottom w:val="none" w:sz="0" w:space="0" w:color="auto"/>
            <w:right w:val="none" w:sz="0" w:space="0" w:color="auto"/>
          </w:divBdr>
        </w:div>
        <w:div w:id="2111856195">
          <w:marLeft w:val="0"/>
          <w:marRight w:val="0"/>
          <w:marTop w:val="0"/>
          <w:marBottom w:val="0"/>
          <w:divBdr>
            <w:top w:val="none" w:sz="0" w:space="0" w:color="auto"/>
            <w:left w:val="none" w:sz="0" w:space="0" w:color="auto"/>
            <w:bottom w:val="none" w:sz="0" w:space="0" w:color="auto"/>
            <w:right w:val="none" w:sz="0" w:space="0" w:color="auto"/>
          </w:divBdr>
        </w:div>
      </w:divsChild>
    </w:div>
    <w:div w:id="1423450292">
      <w:bodyDiv w:val="1"/>
      <w:marLeft w:val="0"/>
      <w:marRight w:val="0"/>
      <w:marTop w:val="0"/>
      <w:marBottom w:val="0"/>
      <w:divBdr>
        <w:top w:val="none" w:sz="0" w:space="0" w:color="auto"/>
        <w:left w:val="none" w:sz="0" w:space="0" w:color="auto"/>
        <w:bottom w:val="none" w:sz="0" w:space="0" w:color="auto"/>
        <w:right w:val="none" w:sz="0" w:space="0" w:color="auto"/>
      </w:divBdr>
    </w:div>
    <w:div w:id="1432583765">
      <w:bodyDiv w:val="1"/>
      <w:marLeft w:val="0"/>
      <w:marRight w:val="0"/>
      <w:marTop w:val="0"/>
      <w:marBottom w:val="0"/>
      <w:divBdr>
        <w:top w:val="none" w:sz="0" w:space="0" w:color="auto"/>
        <w:left w:val="none" w:sz="0" w:space="0" w:color="auto"/>
        <w:bottom w:val="none" w:sz="0" w:space="0" w:color="auto"/>
        <w:right w:val="none" w:sz="0" w:space="0" w:color="auto"/>
      </w:divBdr>
    </w:div>
    <w:div w:id="1452433091">
      <w:bodyDiv w:val="1"/>
      <w:marLeft w:val="0"/>
      <w:marRight w:val="0"/>
      <w:marTop w:val="0"/>
      <w:marBottom w:val="0"/>
      <w:divBdr>
        <w:top w:val="none" w:sz="0" w:space="0" w:color="auto"/>
        <w:left w:val="none" w:sz="0" w:space="0" w:color="auto"/>
        <w:bottom w:val="none" w:sz="0" w:space="0" w:color="auto"/>
        <w:right w:val="none" w:sz="0" w:space="0" w:color="auto"/>
      </w:divBdr>
    </w:div>
    <w:div w:id="1460880911">
      <w:bodyDiv w:val="1"/>
      <w:marLeft w:val="0"/>
      <w:marRight w:val="0"/>
      <w:marTop w:val="0"/>
      <w:marBottom w:val="0"/>
      <w:divBdr>
        <w:top w:val="none" w:sz="0" w:space="0" w:color="auto"/>
        <w:left w:val="none" w:sz="0" w:space="0" w:color="auto"/>
        <w:bottom w:val="none" w:sz="0" w:space="0" w:color="auto"/>
        <w:right w:val="none" w:sz="0" w:space="0" w:color="auto"/>
      </w:divBdr>
    </w:div>
    <w:div w:id="1465194472">
      <w:bodyDiv w:val="1"/>
      <w:marLeft w:val="0"/>
      <w:marRight w:val="0"/>
      <w:marTop w:val="0"/>
      <w:marBottom w:val="0"/>
      <w:divBdr>
        <w:top w:val="none" w:sz="0" w:space="0" w:color="auto"/>
        <w:left w:val="none" w:sz="0" w:space="0" w:color="auto"/>
        <w:bottom w:val="none" w:sz="0" w:space="0" w:color="auto"/>
        <w:right w:val="none" w:sz="0" w:space="0" w:color="auto"/>
      </w:divBdr>
    </w:div>
    <w:div w:id="1482498744">
      <w:bodyDiv w:val="1"/>
      <w:marLeft w:val="0"/>
      <w:marRight w:val="0"/>
      <w:marTop w:val="0"/>
      <w:marBottom w:val="0"/>
      <w:divBdr>
        <w:top w:val="none" w:sz="0" w:space="0" w:color="auto"/>
        <w:left w:val="none" w:sz="0" w:space="0" w:color="auto"/>
        <w:bottom w:val="none" w:sz="0" w:space="0" w:color="auto"/>
        <w:right w:val="none" w:sz="0" w:space="0" w:color="auto"/>
      </w:divBdr>
    </w:div>
    <w:div w:id="1492602167">
      <w:bodyDiv w:val="1"/>
      <w:marLeft w:val="0"/>
      <w:marRight w:val="0"/>
      <w:marTop w:val="0"/>
      <w:marBottom w:val="0"/>
      <w:divBdr>
        <w:top w:val="none" w:sz="0" w:space="0" w:color="auto"/>
        <w:left w:val="none" w:sz="0" w:space="0" w:color="auto"/>
        <w:bottom w:val="none" w:sz="0" w:space="0" w:color="auto"/>
        <w:right w:val="none" w:sz="0" w:space="0" w:color="auto"/>
      </w:divBdr>
    </w:div>
    <w:div w:id="1513912394">
      <w:bodyDiv w:val="1"/>
      <w:marLeft w:val="0"/>
      <w:marRight w:val="0"/>
      <w:marTop w:val="0"/>
      <w:marBottom w:val="0"/>
      <w:divBdr>
        <w:top w:val="none" w:sz="0" w:space="0" w:color="auto"/>
        <w:left w:val="none" w:sz="0" w:space="0" w:color="auto"/>
        <w:bottom w:val="none" w:sz="0" w:space="0" w:color="auto"/>
        <w:right w:val="none" w:sz="0" w:space="0" w:color="auto"/>
      </w:divBdr>
    </w:div>
    <w:div w:id="1523546647">
      <w:bodyDiv w:val="1"/>
      <w:marLeft w:val="0"/>
      <w:marRight w:val="0"/>
      <w:marTop w:val="0"/>
      <w:marBottom w:val="0"/>
      <w:divBdr>
        <w:top w:val="none" w:sz="0" w:space="0" w:color="auto"/>
        <w:left w:val="none" w:sz="0" w:space="0" w:color="auto"/>
        <w:bottom w:val="none" w:sz="0" w:space="0" w:color="auto"/>
        <w:right w:val="none" w:sz="0" w:space="0" w:color="auto"/>
      </w:divBdr>
    </w:div>
    <w:div w:id="1524517890">
      <w:bodyDiv w:val="1"/>
      <w:marLeft w:val="0"/>
      <w:marRight w:val="0"/>
      <w:marTop w:val="0"/>
      <w:marBottom w:val="0"/>
      <w:divBdr>
        <w:top w:val="none" w:sz="0" w:space="0" w:color="auto"/>
        <w:left w:val="none" w:sz="0" w:space="0" w:color="auto"/>
        <w:bottom w:val="none" w:sz="0" w:space="0" w:color="auto"/>
        <w:right w:val="none" w:sz="0" w:space="0" w:color="auto"/>
      </w:divBdr>
    </w:div>
    <w:div w:id="1543128779">
      <w:bodyDiv w:val="1"/>
      <w:marLeft w:val="0"/>
      <w:marRight w:val="0"/>
      <w:marTop w:val="0"/>
      <w:marBottom w:val="0"/>
      <w:divBdr>
        <w:top w:val="none" w:sz="0" w:space="0" w:color="auto"/>
        <w:left w:val="none" w:sz="0" w:space="0" w:color="auto"/>
        <w:bottom w:val="none" w:sz="0" w:space="0" w:color="auto"/>
        <w:right w:val="none" w:sz="0" w:space="0" w:color="auto"/>
      </w:divBdr>
    </w:div>
    <w:div w:id="1575046791">
      <w:bodyDiv w:val="1"/>
      <w:marLeft w:val="0"/>
      <w:marRight w:val="0"/>
      <w:marTop w:val="0"/>
      <w:marBottom w:val="0"/>
      <w:divBdr>
        <w:top w:val="none" w:sz="0" w:space="0" w:color="auto"/>
        <w:left w:val="none" w:sz="0" w:space="0" w:color="auto"/>
        <w:bottom w:val="none" w:sz="0" w:space="0" w:color="auto"/>
        <w:right w:val="none" w:sz="0" w:space="0" w:color="auto"/>
      </w:divBdr>
    </w:div>
    <w:div w:id="1591811966">
      <w:bodyDiv w:val="1"/>
      <w:marLeft w:val="0"/>
      <w:marRight w:val="0"/>
      <w:marTop w:val="0"/>
      <w:marBottom w:val="0"/>
      <w:divBdr>
        <w:top w:val="none" w:sz="0" w:space="0" w:color="auto"/>
        <w:left w:val="none" w:sz="0" w:space="0" w:color="auto"/>
        <w:bottom w:val="none" w:sz="0" w:space="0" w:color="auto"/>
        <w:right w:val="none" w:sz="0" w:space="0" w:color="auto"/>
      </w:divBdr>
    </w:div>
    <w:div w:id="1613781893">
      <w:bodyDiv w:val="1"/>
      <w:marLeft w:val="0"/>
      <w:marRight w:val="0"/>
      <w:marTop w:val="0"/>
      <w:marBottom w:val="0"/>
      <w:divBdr>
        <w:top w:val="none" w:sz="0" w:space="0" w:color="auto"/>
        <w:left w:val="none" w:sz="0" w:space="0" w:color="auto"/>
        <w:bottom w:val="none" w:sz="0" w:space="0" w:color="auto"/>
        <w:right w:val="none" w:sz="0" w:space="0" w:color="auto"/>
      </w:divBdr>
    </w:div>
    <w:div w:id="1625110222">
      <w:bodyDiv w:val="1"/>
      <w:marLeft w:val="0"/>
      <w:marRight w:val="0"/>
      <w:marTop w:val="0"/>
      <w:marBottom w:val="0"/>
      <w:divBdr>
        <w:top w:val="none" w:sz="0" w:space="0" w:color="auto"/>
        <w:left w:val="none" w:sz="0" w:space="0" w:color="auto"/>
        <w:bottom w:val="none" w:sz="0" w:space="0" w:color="auto"/>
        <w:right w:val="none" w:sz="0" w:space="0" w:color="auto"/>
      </w:divBdr>
    </w:div>
    <w:div w:id="1634485954">
      <w:bodyDiv w:val="1"/>
      <w:marLeft w:val="0"/>
      <w:marRight w:val="0"/>
      <w:marTop w:val="0"/>
      <w:marBottom w:val="0"/>
      <w:divBdr>
        <w:top w:val="none" w:sz="0" w:space="0" w:color="auto"/>
        <w:left w:val="none" w:sz="0" w:space="0" w:color="auto"/>
        <w:bottom w:val="none" w:sz="0" w:space="0" w:color="auto"/>
        <w:right w:val="none" w:sz="0" w:space="0" w:color="auto"/>
      </w:divBdr>
    </w:div>
    <w:div w:id="1635408378">
      <w:bodyDiv w:val="1"/>
      <w:marLeft w:val="0"/>
      <w:marRight w:val="0"/>
      <w:marTop w:val="0"/>
      <w:marBottom w:val="0"/>
      <w:divBdr>
        <w:top w:val="none" w:sz="0" w:space="0" w:color="auto"/>
        <w:left w:val="none" w:sz="0" w:space="0" w:color="auto"/>
        <w:bottom w:val="none" w:sz="0" w:space="0" w:color="auto"/>
        <w:right w:val="none" w:sz="0" w:space="0" w:color="auto"/>
      </w:divBdr>
    </w:div>
    <w:div w:id="1637375119">
      <w:bodyDiv w:val="1"/>
      <w:marLeft w:val="0"/>
      <w:marRight w:val="0"/>
      <w:marTop w:val="0"/>
      <w:marBottom w:val="0"/>
      <w:divBdr>
        <w:top w:val="none" w:sz="0" w:space="0" w:color="auto"/>
        <w:left w:val="none" w:sz="0" w:space="0" w:color="auto"/>
        <w:bottom w:val="none" w:sz="0" w:space="0" w:color="auto"/>
        <w:right w:val="none" w:sz="0" w:space="0" w:color="auto"/>
      </w:divBdr>
    </w:div>
    <w:div w:id="1682656799">
      <w:bodyDiv w:val="1"/>
      <w:marLeft w:val="0"/>
      <w:marRight w:val="0"/>
      <w:marTop w:val="0"/>
      <w:marBottom w:val="0"/>
      <w:divBdr>
        <w:top w:val="none" w:sz="0" w:space="0" w:color="auto"/>
        <w:left w:val="none" w:sz="0" w:space="0" w:color="auto"/>
        <w:bottom w:val="none" w:sz="0" w:space="0" w:color="auto"/>
        <w:right w:val="none" w:sz="0" w:space="0" w:color="auto"/>
      </w:divBdr>
    </w:div>
    <w:div w:id="1684013396">
      <w:bodyDiv w:val="1"/>
      <w:marLeft w:val="0"/>
      <w:marRight w:val="0"/>
      <w:marTop w:val="0"/>
      <w:marBottom w:val="0"/>
      <w:divBdr>
        <w:top w:val="none" w:sz="0" w:space="0" w:color="auto"/>
        <w:left w:val="none" w:sz="0" w:space="0" w:color="auto"/>
        <w:bottom w:val="none" w:sz="0" w:space="0" w:color="auto"/>
        <w:right w:val="none" w:sz="0" w:space="0" w:color="auto"/>
      </w:divBdr>
    </w:div>
    <w:div w:id="1707176838">
      <w:bodyDiv w:val="1"/>
      <w:marLeft w:val="0"/>
      <w:marRight w:val="0"/>
      <w:marTop w:val="0"/>
      <w:marBottom w:val="0"/>
      <w:divBdr>
        <w:top w:val="none" w:sz="0" w:space="0" w:color="auto"/>
        <w:left w:val="none" w:sz="0" w:space="0" w:color="auto"/>
        <w:bottom w:val="none" w:sz="0" w:space="0" w:color="auto"/>
        <w:right w:val="none" w:sz="0" w:space="0" w:color="auto"/>
      </w:divBdr>
    </w:div>
    <w:div w:id="1709992228">
      <w:bodyDiv w:val="1"/>
      <w:marLeft w:val="0"/>
      <w:marRight w:val="0"/>
      <w:marTop w:val="0"/>
      <w:marBottom w:val="0"/>
      <w:divBdr>
        <w:top w:val="none" w:sz="0" w:space="0" w:color="auto"/>
        <w:left w:val="none" w:sz="0" w:space="0" w:color="auto"/>
        <w:bottom w:val="none" w:sz="0" w:space="0" w:color="auto"/>
        <w:right w:val="none" w:sz="0" w:space="0" w:color="auto"/>
      </w:divBdr>
    </w:div>
    <w:div w:id="1716192559">
      <w:bodyDiv w:val="1"/>
      <w:marLeft w:val="0"/>
      <w:marRight w:val="0"/>
      <w:marTop w:val="0"/>
      <w:marBottom w:val="0"/>
      <w:divBdr>
        <w:top w:val="none" w:sz="0" w:space="0" w:color="auto"/>
        <w:left w:val="none" w:sz="0" w:space="0" w:color="auto"/>
        <w:bottom w:val="none" w:sz="0" w:space="0" w:color="auto"/>
        <w:right w:val="none" w:sz="0" w:space="0" w:color="auto"/>
      </w:divBdr>
    </w:div>
    <w:div w:id="1721780679">
      <w:bodyDiv w:val="1"/>
      <w:marLeft w:val="0"/>
      <w:marRight w:val="0"/>
      <w:marTop w:val="0"/>
      <w:marBottom w:val="0"/>
      <w:divBdr>
        <w:top w:val="none" w:sz="0" w:space="0" w:color="auto"/>
        <w:left w:val="none" w:sz="0" w:space="0" w:color="auto"/>
        <w:bottom w:val="none" w:sz="0" w:space="0" w:color="auto"/>
        <w:right w:val="none" w:sz="0" w:space="0" w:color="auto"/>
      </w:divBdr>
    </w:div>
    <w:div w:id="1727802604">
      <w:bodyDiv w:val="1"/>
      <w:marLeft w:val="0"/>
      <w:marRight w:val="0"/>
      <w:marTop w:val="0"/>
      <w:marBottom w:val="0"/>
      <w:divBdr>
        <w:top w:val="none" w:sz="0" w:space="0" w:color="auto"/>
        <w:left w:val="none" w:sz="0" w:space="0" w:color="auto"/>
        <w:bottom w:val="none" w:sz="0" w:space="0" w:color="auto"/>
        <w:right w:val="none" w:sz="0" w:space="0" w:color="auto"/>
      </w:divBdr>
    </w:div>
    <w:div w:id="1729958481">
      <w:bodyDiv w:val="1"/>
      <w:marLeft w:val="0"/>
      <w:marRight w:val="0"/>
      <w:marTop w:val="0"/>
      <w:marBottom w:val="0"/>
      <w:divBdr>
        <w:top w:val="none" w:sz="0" w:space="0" w:color="auto"/>
        <w:left w:val="none" w:sz="0" w:space="0" w:color="auto"/>
        <w:bottom w:val="none" w:sz="0" w:space="0" w:color="auto"/>
        <w:right w:val="none" w:sz="0" w:space="0" w:color="auto"/>
      </w:divBdr>
    </w:div>
    <w:div w:id="1735078154">
      <w:bodyDiv w:val="1"/>
      <w:marLeft w:val="0"/>
      <w:marRight w:val="0"/>
      <w:marTop w:val="0"/>
      <w:marBottom w:val="0"/>
      <w:divBdr>
        <w:top w:val="none" w:sz="0" w:space="0" w:color="auto"/>
        <w:left w:val="none" w:sz="0" w:space="0" w:color="auto"/>
        <w:bottom w:val="none" w:sz="0" w:space="0" w:color="auto"/>
        <w:right w:val="none" w:sz="0" w:space="0" w:color="auto"/>
      </w:divBdr>
    </w:div>
    <w:div w:id="1745637435">
      <w:bodyDiv w:val="1"/>
      <w:marLeft w:val="0"/>
      <w:marRight w:val="0"/>
      <w:marTop w:val="0"/>
      <w:marBottom w:val="0"/>
      <w:divBdr>
        <w:top w:val="none" w:sz="0" w:space="0" w:color="auto"/>
        <w:left w:val="none" w:sz="0" w:space="0" w:color="auto"/>
        <w:bottom w:val="none" w:sz="0" w:space="0" w:color="auto"/>
        <w:right w:val="none" w:sz="0" w:space="0" w:color="auto"/>
      </w:divBdr>
    </w:div>
    <w:div w:id="1759130122">
      <w:bodyDiv w:val="1"/>
      <w:marLeft w:val="0"/>
      <w:marRight w:val="0"/>
      <w:marTop w:val="0"/>
      <w:marBottom w:val="0"/>
      <w:divBdr>
        <w:top w:val="none" w:sz="0" w:space="0" w:color="auto"/>
        <w:left w:val="none" w:sz="0" w:space="0" w:color="auto"/>
        <w:bottom w:val="none" w:sz="0" w:space="0" w:color="auto"/>
        <w:right w:val="none" w:sz="0" w:space="0" w:color="auto"/>
      </w:divBdr>
    </w:div>
    <w:div w:id="1781610005">
      <w:bodyDiv w:val="1"/>
      <w:marLeft w:val="0"/>
      <w:marRight w:val="0"/>
      <w:marTop w:val="0"/>
      <w:marBottom w:val="0"/>
      <w:divBdr>
        <w:top w:val="none" w:sz="0" w:space="0" w:color="auto"/>
        <w:left w:val="none" w:sz="0" w:space="0" w:color="auto"/>
        <w:bottom w:val="none" w:sz="0" w:space="0" w:color="auto"/>
        <w:right w:val="none" w:sz="0" w:space="0" w:color="auto"/>
      </w:divBdr>
    </w:div>
    <w:div w:id="1803385170">
      <w:bodyDiv w:val="1"/>
      <w:marLeft w:val="0"/>
      <w:marRight w:val="0"/>
      <w:marTop w:val="0"/>
      <w:marBottom w:val="0"/>
      <w:divBdr>
        <w:top w:val="none" w:sz="0" w:space="0" w:color="auto"/>
        <w:left w:val="none" w:sz="0" w:space="0" w:color="auto"/>
        <w:bottom w:val="none" w:sz="0" w:space="0" w:color="auto"/>
        <w:right w:val="none" w:sz="0" w:space="0" w:color="auto"/>
      </w:divBdr>
    </w:div>
    <w:div w:id="1803965529">
      <w:bodyDiv w:val="1"/>
      <w:marLeft w:val="0"/>
      <w:marRight w:val="0"/>
      <w:marTop w:val="0"/>
      <w:marBottom w:val="0"/>
      <w:divBdr>
        <w:top w:val="none" w:sz="0" w:space="0" w:color="auto"/>
        <w:left w:val="none" w:sz="0" w:space="0" w:color="auto"/>
        <w:bottom w:val="none" w:sz="0" w:space="0" w:color="auto"/>
        <w:right w:val="none" w:sz="0" w:space="0" w:color="auto"/>
      </w:divBdr>
    </w:div>
    <w:div w:id="1809742704">
      <w:bodyDiv w:val="1"/>
      <w:marLeft w:val="0"/>
      <w:marRight w:val="0"/>
      <w:marTop w:val="0"/>
      <w:marBottom w:val="0"/>
      <w:divBdr>
        <w:top w:val="none" w:sz="0" w:space="0" w:color="auto"/>
        <w:left w:val="none" w:sz="0" w:space="0" w:color="auto"/>
        <w:bottom w:val="none" w:sz="0" w:space="0" w:color="auto"/>
        <w:right w:val="none" w:sz="0" w:space="0" w:color="auto"/>
      </w:divBdr>
    </w:div>
    <w:div w:id="1823539474">
      <w:bodyDiv w:val="1"/>
      <w:marLeft w:val="0"/>
      <w:marRight w:val="0"/>
      <w:marTop w:val="0"/>
      <w:marBottom w:val="0"/>
      <w:divBdr>
        <w:top w:val="none" w:sz="0" w:space="0" w:color="auto"/>
        <w:left w:val="none" w:sz="0" w:space="0" w:color="auto"/>
        <w:bottom w:val="none" w:sz="0" w:space="0" w:color="auto"/>
        <w:right w:val="none" w:sz="0" w:space="0" w:color="auto"/>
      </w:divBdr>
    </w:div>
    <w:div w:id="1844394131">
      <w:bodyDiv w:val="1"/>
      <w:marLeft w:val="0"/>
      <w:marRight w:val="0"/>
      <w:marTop w:val="0"/>
      <w:marBottom w:val="0"/>
      <w:divBdr>
        <w:top w:val="none" w:sz="0" w:space="0" w:color="auto"/>
        <w:left w:val="none" w:sz="0" w:space="0" w:color="auto"/>
        <w:bottom w:val="none" w:sz="0" w:space="0" w:color="auto"/>
        <w:right w:val="none" w:sz="0" w:space="0" w:color="auto"/>
      </w:divBdr>
    </w:div>
    <w:div w:id="1850752128">
      <w:bodyDiv w:val="1"/>
      <w:marLeft w:val="0"/>
      <w:marRight w:val="0"/>
      <w:marTop w:val="0"/>
      <w:marBottom w:val="0"/>
      <w:divBdr>
        <w:top w:val="none" w:sz="0" w:space="0" w:color="auto"/>
        <w:left w:val="none" w:sz="0" w:space="0" w:color="auto"/>
        <w:bottom w:val="none" w:sz="0" w:space="0" w:color="auto"/>
        <w:right w:val="none" w:sz="0" w:space="0" w:color="auto"/>
      </w:divBdr>
    </w:div>
    <w:div w:id="1860698683">
      <w:bodyDiv w:val="1"/>
      <w:marLeft w:val="0"/>
      <w:marRight w:val="0"/>
      <w:marTop w:val="0"/>
      <w:marBottom w:val="0"/>
      <w:divBdr>
        <w:top w:val="none" w:sz="0" w:space="0" w:color="auto"/>
        <w:left w:val="none" w:sz="0" w:space="0" w:color="auto"/>
        <w:bottom w:val="none" w:sz="0" w:space="0" w:color="auto"/>
        <w:right w:val="none" w:sz="0" w:space="0" w:color="auto"/>
      </w:divBdr>
    </w:div>
    <w:div w:id="1868054557">
      <w:bodyDiv w:val="1"/>
      <w:marLeft w:val="0"/>
      <w:marRight w:val="0"/>
      <w:marTop w:val="0"/>
      <w:marBottom w:val="0"/>
      <w:divBdr>
        <w:top w:val="none" w:sz="0" w:space="0" w:color="auto"/>
        <w:left w:val="none" w:sz="0" w:space="0" w:color="auto"/>
        <w:bottom w:val="none" w:sz="0" w:space="0" w:color="auto"/>
        <w:right w:val="none" w:sz="0" w:space="0" w:color="auto"/>
      </w:divBdr>
    </w:div>
    <w:div w:id="1869558295">
      <w:bodyDiv w:val="1"/>
      <w:marLeft w:val="0"/>
      <w:marRight w:val="0"/>
      <w:marTop w:val="0"/>
      <w:marBottom w:val="0"/>
      <w:divBdr>
        <w:top w:val="none" w:sz="0" w:space="0" w:color="auto"/>
        <w:left w:val="none" w:sz="0" w:space="0" w:color="auto"/>
        <w:bottom w:val="none" w:sz="0" w:space="0" w:color="auto"/>
        <w:right w:val="none" w:sz="0" w:space="0" w:color="auto"/>
      </w:divBdr>
    </w:div>
    <w:div w:id="1872648968">
      <w:bodyDiv w:val="1"/>
      <w:marLeft w:val="0"/>
      <w:marRight w:val="0"/>
      <w:marTop w:val="0"/>
      <w:marBottom w:val="0"/>
      <w:divBdr>
        <w:top w:val="none" w:sz="0" w:space="0" w:color="auto"/>
        <w:left w:val="none" w:sz="0" w:space="0" w:color="auto"/>
        <w:bottom w:val="none" w:sz="0" w:space="0" w:color="auto"/>
        <w:right w:val="none" w:sz="0" w:space="0" w:color="auto"/>
      </w:divBdr>
    </w:div>
    <w:div w:id="1879122354">
      <w:bodyDiv w:val="1"/>
      <w:marLeft w:val="0"/>
      <w:marRight w:val="0"/>
      <w:marTop w:val="0"/>
      <w:marBottom w:val="0"/>
      <w:divBdr>
        <w:top w:val="none" w:sz="0" w:space="0" w:color="auto"/>
        <w:left w:val="none" w:sz="0" w:space="0" w:color="auto"/>
        <w:bottom w:val="none" w:sz="0" w:space="0" w:color="auto"/>
        <w:right w:val="none" w:sz="0" w:space="0" w:color="auto"/>
      </w:divBdr>
    </w:div>
    <w:div w:id="1881431874">
      <w:bodyDiv w:val="1"/>
      <w:marLeft w:val="0"/>
      <w:marRight w:val="0"/>
      <w:marTop w:val="0"/>
      <w:marBottom w:val="0"/>
      <w:divBdr>
        <w:top w:val="none" w:sz="0" w:space="0" w:color="auto"/>
        <w:left w:val="none" w:sz="0" w:space="0" w:color="auto"/>
        <w:bottom w:val="none" w:sz="0" w:space="0" w:color="auto"/>
        <w:right w:val="none" w:sz="0" w:space="0" w:color="auto"/>
      </w:divBdr>
    </w:div>
    <w:div w:id="1891111653">
      <w:bodyDiv w:val="1"/>
      <w:marLeft w:val="0"/>
      <w:marRight w:val="0"/>
      <w:marTop w:val="0"/>
      <w:marBottom w:val="0"/>
      <w:divBdr>
        <w:top w:val="none" w:sz="0" w:space="0" w:color="auto"/>
        <w:left w:val="none" w:sz="0" w:space="0" w:color="auto"/>
        <w:bottom w:val="none" w:sz="0" w:space="0" w:color="auto"/>
        <w:right w:val="none" w:sz="0" w:space="0" w:color="auto"/>
      </w:divBdr>
    </w:div>
    <w:div w:id="1898082030">
      <w:bodyDiv w:val="1"/>
      <w:marLeft w:val="0"/>
      <w:marRight w:val="0"/>
      <w:marTop w:val="0"/>
      <w:marBottom w:val="0"/>
      <w:divBdr>
        <w:top w:val="none" w:sz="0" w:space="0" w:color="auto"/>
        <w:left w:val="none" w:sz="0" w:space="0" w:color="auto"/>
        <w:bottom w:val="none" w:sz="0" w:space="0" w:color="auto"/>
        <w:right w:val="none" w:sz="0" w:space="0" w:color="auto"/>
      </w:divBdr>
    </w:div>
    <w:div w:id="1905213197">
      <w:bodyDiv w:val="1"/>
      <w:marLeft w:val="0"/>
      <w:marRight w:val="0"/>
      <w:marTop w:val="0"/>
      <w:marBottom w:val="0"/>
      <w:divBdr>
        <w:top w:val="none" w:sz="0" w:space="0" w:color="auto"/>
        <w:left w:val="none" w:sz="0" w:space="0" w:color="auto"/>
        <w:bottom w:val="none" w:sz="0" w:space="0" w:color="auto"/>
        <w:right w:val="none" w:sz="0" w:space="0" w:color="auto"/>
      </w:divBdr>
    </w:div>
    <w:div w:id="1932548438">
      <w:bodyDiv w:val="1"/>
      <w:marLeft w:val="0"/>
      <w:marRight w:val="0"/>
      <w:marTop w:val="0"/>
      <w:marBottom w:val="0"/>
      <w:divBdr>
        <w:top w:val="none" w:sz="0" w:space="0" w:color="auto"/>
        <w:left w:val="none" w:sz="0" w:space="0" w:color="auto"/>
        <w:bottom w:val="none" w:sz="0" w:space="0" w:color="auto"/>
        <w:right w:val="none" w:sz="0" w:space="0" w:color="auto"/>
      </w:divBdr>
    </w:div>
    <w:div w:id="1935089718">
      <w:bodyDiv w:val="1"/>
      <w:marLeft w:val="0"/>
      <w:marRight w:val="0"/>
      <w:marTop w:val="0"/>
      <w:marBottom w:val="0"/>
      <w:divBdr>
        <w:top w:val="none" w:sz="0" w:space="0" w:color="auto"/>
        <w:left w:val="none" w:sz="0" w:space="0" w:color="auto"/>
        <w:bottom w:val="none" w:sz="0" w:space="0" w:color="auto"/>
        <w:right w:val="none" w:sz="0" w:space="0" w:color="auto"/>
      </w:divBdr>
      <w:divsChild>
        <w:div w:id="20205974">
          <w:marLeft w:val="547"/>
          <w:marRight w:val="0"/>
          <w:marTop w:val="115"/>
          <w:marBottom w:val="0"/>
          <w:divBdr>
            <w:top w:val="none" w:sz="0" w:space="0" w:color="auto"/>
            <w:left w:val="none" w:sz="0" w:space="0" w:color="auto"/>
            <w:bottom w:val="none" w:sz="0" w:space="0" w:color="auto"/>
            <w:right w:val="none" w:sz="0" w:space="0" w:color="auto"/>
          </w:divBdr>
        </w:div>
        <w:div w:id="628973984">
          <w:marLeft w:val="1166"/>
          <w:marRight w:val="0"/>
          <w:marTop w:val="96"/>
          <w:marBottom w:val="0"/>
          <w:divBdr>
            <w:top w:val="none" w:sz="0" w:space="0" w:color="auto"/>
            <w:left w:val="none" w:sz="0" w:space="0" w:color="auto"/>
            <w:bottom w:val="none" w:sz="0" w:space="0" w:color="auto"/>
            <w:right w:val="none" w:sz="0" w:space="0" w:color="auto"/>
          </w:divBdr>
        </w:div>
        <w:div w:id="727804293">
          <w:marLeft w:val="1166"/>
          <w:marRight w:val="0"/>
          <w:marTop w:val="96"/>
          <w:marBottom w:val="0"/>
          <w:divBdr>
            <w:top w:val="none" w:sz="0" w:space="0" w:color="auto"/>
            <w:left w:val="none" w:sz="0" w:space="0" w:color="auto"/>
            <w:bottom w:val="none" w:sz="0" w:space="0" w:color="auto"/>
            <w:right w:val="none" w:sz="0" w:space="0" w:color="auto"/>
          </w:divBdr>
        </w:div>
        <w:div w:id="769007397">
          <w:marLeft w:val="547"/>
          <w:marRight w:val="0"/>
          <w:marTop w:val="115"/>
          <w:marBottom w:val="0"/>
          <w:divBdr>
            <w:top w:val="none" w:sz="0" w:space="0" w:color="auto"/>
            <w:left w:val="none" w:sz="0" w:space="0" w:color="auto"/>
            <w:bottom w:val="none" w:sz="0" w:space="0" w:color="auto"/>
            <w:right w:val="none" w:sz="0" w:space="0" w:color="auto"/>
          </w:divBdr>
        </w:div>
        <w:div w:id="1167551117">
          <w:marLeft w:val="1166"/>
          <w:marRight w:val="0"/>
          <w:marTop w:val="96"/>
          <w:marBottom w:val="0"/>
          <w:divBdr>
            <w:top w:val="none" w:sz="0" w:space="0" w:color="auto"/>
            <w:left w:val="none" w:sz="0" w:space="0" w:color="auto"/>
            <w:bottom w:val="none" w:sz="0" w:space="0" w:color="auto"/>
            <w:right w:val="none" w:sz="0" w:space="0" w:color="auto"/>
          </w:divBdr>
        </w:div>
        <w:div w:id="1444760521">
          <w:marLeft w:val="547"/>
          <w:marRight w:val="0"/>
          <w:marTop w:val="115"/>
          <w:marBottom w:val="0"/>
          <w:divBdr>
            <w:top w:val="none" w:sz="0" w:space="0" w:color="auto"/>
            <w:left w:val="none" w:sz="0" w:space="0" w:color="auto"/>
            <w:bottom w:val="none" w:sz="0" w:space="0" w:color="auto"/>
            <w:right w:val="none" w:sz="0" w:space="0" w:color="auto"/>
          </w:divBdr>
        </w:div>
        <w:div w:id="1572542415">
          <w:marLeft w:val="1166"/>
          <w:marRight w:val="0"/>
          <w:marTop w:val="96"/>
          <w:marBottom w:val="0"/>
          <w:divBdr>
            <w:top w:val="none" w:sz="0" w:space="0" w:color="auto"/>
            <w:left w:val="none" w:sz="0" w:space="0" w:color="auto"/>
            <w:bottom w:val="none" w:sz="0" w:space="0" w:color="auto"/>
            <w:right w:val="none" w:sz="0" w:space="0" w:color="auto"/>
          </w:divBdr>
        </w:div>
        <w:div w:id="1860922058">
          <w:marLeft w:val="1166"/>
          <w:marRight w:val="0"/>
          <w:marTop w:val="96"/>
          <w:marBottom w:val="0"/>
          <w:divBdr>
            <w:top w:val="none" w:sz="0" w:space="0" w:color="auto"/>
            <w:left w:val="none" w:sz="0" w:space="0" w:color="auto"/>
            <w:bottom w:val="none" w:sz="0" w:space="0" w:color="auto"/>
            <w:right w:val="none" w:sz="0" w:space="0" w:color="auto"/>
          </w:divBdr>
        </w:div>
      </w:divsChild>
    </w:div>
    <w:div w:id="1950234671">
      <w:bodyDiv w:val="1"/>
      <w:marLeft w:val="0"/>
      <w:marRight w:val="0"/>
      <w:marTop w:val="0"/>
      <w:marBottom w:val="0"/>
      <w:divBdr>
        <w:top w:val="none" w:sz="0" w:space="0" w:color="auto"/>
        <w:left w:val="none" w:sz="0" w:space="0" w:color="auto"/>
        <w:bottom w:val="none" w:sz="0" w:space="0" w:color="auto"/>
        <w:right w:val="none" w:sz="0" w:space="0" w:color="auto"/>
      </w:divBdr>
    </w:div>
    <w:div w:id="1956516188">
      <w:bodyDiv w:val="1"/>
      <w:marLeft w:val="0"/>
      <w:marRight w:val="0"/>
      <w:marTop w:val="0"/>
      <w:marBottom w:val="0"/>
      <w:divBdr>
        <w:top w:val="none" w:sz="0" w:space="0" w:color="auto"/>
        <w:left w:val="none" w:sz="0" w:space="0" w:color="auto"/>
        <w:bottom w:val="none" w:sz="0" w:space="0" w:color="auto"/>
        <w:right w:val="none" w:sz="0" w:space="0" w:color="auto"/>
      </w:divBdr>
    </w:div>
    <w:div w:id="1964463005">
      <w:bodyDiv w:val="1"/>
      <w:marLeft w:val="0"/>
      <w:marRight w:val="0"/>
      <w:marTop w:val="0"/>
      <w:marBottom w:val="0"/>
      <w:divBdr>
        <w:top w:val="none" w:sz="0" w:space="0" w:color="auto"/>
        <w:left w:val="none" w:sz="0" w:space="0" w:color="auto"/>
        <w:bottom w:val="none" w:sz="0" w:space="0" w:color="auto"/>
        <w:right w:val="none" w:sz="0" w:space="0" w:color="auto"/>
      </w:divBdr>
    </w:div>
    <w:div w:id="1966618458">
      <w:bodyDiv w:val="1"/>
      <w:marLeft w:val="0"/>
      <w:marRight w:val="0"/>
      <w:marTop w:val="0"/>
      <w:marBottom w:val="0"/>
      <w:divBdr>
        <w:top w:val="none" w:sz="0" w:space="0" w:color="auto"/>
        <w:left w:val="none" w:sz="0" w:space="0" w:color="auto"/>
        <w:bottom w:val="none" w:sz="0" w:space="0" w:color="auto"/>
        <w:right w:val="none" w:sz="0" w:space="0" w:color="auto"/>
      </w:divBdr>
    </w:div>
    <w:div w:id="1982802973">
      <w:bodyDiv w:val="1"/>
      <w:marLeft w:val="0"/>
      <w:marRight w:val="0"/>
      <w:marTop w:val="0"/>
      <w:marBottom w:val="0"/>
      <w:divBdr>
        <w:top w:val="none" w:sz="0" w:space="0" w:color="auto"/>
        <w:left w:val="none" w:sz="0" w:space="0" w:color="auto"/>
        <w:bottom w:val="none" w:sz="0" w:space="0" w:color="auto"/>
        <w:right w:val="none" w:sz="0" w:space="0" w:color="auto"/>
      </w:divBdr>
    </w:div>
    <w:div w:id="1997293765">
      <w:bodyDiv w:val="1"/>
      <w:marLeft w:val="0"/>
      <w:marRight w:val="0"/>
      <w:marTop w:val="0"/>
      <w:marBottom w:val="0"/>
      <w:divBdr>
        <w:top w:val="none" w:sz="0" w:space="0" w:color="auto"/>
        <w:left w:val="none" w:sz="0" w:space="0" w:color="auto"/>
        <w:bottom w:val="none" w:sz="0" w:space="0" w:color="auto"/>
        <w:right w:val="none" w:sz="0" w:space="0" w:color="auto"/>
      </w:divBdr>
    </w:div>
    <w:div w:id="2035763105">
      <w:bodyDiv w:val="1"/>
      <w:marLeft w:val="0"/>
      <w:marRight w:val="0"/>
      <w:marTop w:val="0"/>
      <w:marBottom w:val="0"/>
      <w:divBdr>
        <w:top w:val="none" w:sz="0" w:space="0" w:color="auto"/>
        <w:left w:val="none" w:sz="0" w:space="0" w:color="auto"/>
        <w:bottom w:val="none" w:sz="0" w:space="0" w:color="auto"/>
        <w:right w:val="none" w:sz="0" w:space="0" w:color="auto"/>
      </w:divBdr>
    </w:div>
    <w:div w:id="2041128963">
      <w:bodyDiv w:val="1"/>
      <w:marLeft w:val="0"/>
      <w:marRight w:val="0"/>
      <w:marTop w:val="0"/>
      <w:marBottom w:val="0"/>
      <w:divBdr>
        <w:top w:val="none" w:sz="0" w:space="0" w:color="auto"/>
        <w:left w:val="none" w:sz="0" w:space="0" w:color="auto"/>
        <w:bottom w:val="none" w:sz="0" w:space="0" w:color="auto"/>
        <w:right w:val="none" w:sz="0" w:space="0" w:color="auto"/>
      </w:divBdr>
    </w:div>
    <w:div w:id="2047560297">
      <w:bodyDiv w:val="1"/>
      <w:marLeft w:val="0"/>
      <w:marRight w:val="0"/>
      <w:marTop w:val="0"/>
      <w:marBottom w:val="0"/>
      <w:divBdr>
        <w:top w:val="none" w:sz="0" w:space="0" w:color="auto"/>
        <w:left w:val="none" w:sz="0" w:space="0" w:color="auto"/>
        <w:bottom w:val="none" w:sz="0" w:space="0" w:color="auto"/>
        <w:right w:val="none" w:sz="0" w:space="0" w:color="auto"/>
      </w:divBdr>
    </w:div>
    <w:div w:id="2053650139">
      <w:bodyDiv w:val="1"/>
      <w:marLeft w:val="0"/>
      <w:marRight w:val="0"/>
      <w:marTop w:val="0"/>
      <w:marBottom w:val="0"/>
      <w:divBdr>
        <w:top w:val="none" w:sz="0" w:space="0" w:color="auto"/>
        <w:left w:val="none" w:sz="0" w:space="0" w:color="auto"/>
        <w:bottom w:val="none" w:sz="0" w:space="0" w:color="auto"/>
        <w:right w:val="none" w:sz="0" w:space="0" w:color="auto"/>
      </w:divBdr>
    </w:div>
    <w:div w:id="2054957560">
      <w:bodyDiv w:val="1"/>
      <w:marLeft w:val="0"/>
      <w:marRight w:val="0"/>
      <w:marTop w:val="0"/>
      <w:marBottom w:val="0"/>
      <w:divBdr>
        <w:top w:val="none" w:sz="0" w:space="0" w:color="auto"/>
        <w:left w:val="none" w:sz="0" w:space="0" w:color="auto"/>
        <w:bottom w:val="none" w:sz="0" w:space="0" w:color="auto"/>
        <w:right w:val="none" w:sz="0" w:space="0" w:color="auto"/>
      </w:divBdr>
      <w:divsChild>
        <w:div w:id="1932330">
          <w:marLeft w:val="0"/>
          <w:marRight w:val="0"/>
          <w:marTop w:val="0"/>
          <w:marBottom w:val="0"/>
          <w:divBdr>
            <w:top w:val="none" w:sz="0" w:space="0" w:color="auto"/>
            <w:left w:val="none" w:sz="0" w:space="0" w:color="auto"/>
            <w:bottom w:val="none" w:sz="0" w:space="0" w:color="auto"/>
            <w:right w:val="none" w:sz="0" w:space="0" w:color="auto"/>
          </w:divBdr>
        </w:div>
        <w:div w:id="67726530">
          <w:marLeft w:val="0"/>
          <w:marRight w:val="0"/>
          <w:marTop w:val="0"/>
          <w:marBottom w:val="0"/>
          <w:divBdr>
            <w:top w:val="none" w:sz="0" w:space="0" w:color="auto"/>
            <w:left w:val="none" w:sz="0" w:space="0" w:color="auto"/>
            <w:bottom w:val="none" w:sz="0" w:space="0" w:color="auto"/>
            <w:right w:val="none" w:sz="0" w:space="0" w:color="auto"/>
          </w:divBdr>
        </w:div>
        <w:div w:id="503058134">
          <w:marLeft w:val="0"/>
          <w:marRight w:val="0"/>
          <w:marTop w:val="0"/>
          <w:marBottom w:val="0"/>
          <w:divBdr>
            <w:top w:val="none" w:sz="0" w:space="0" w:color="auto"/>
            <w:left w:val="none" w:sz="0" w:space="0" w:color="auto"/>
            <w:bottom w:val="none" w:sz="0" w:space="0" w:color="auto"/>
            <w:right w:val="none" w:sz="0" w:space="0" w:color="auto"/>
          </w:divBdr>
        </w:div>
        <w:div w:id="768089847">
          <w:marLeft w:val="0"/>
          <w:marRight w:val="0"/>
          <w:marTop w:val="0"/>
          <w:marBottom w:val="0"/>
          <w:divBdr>
            <w:top w:val="none" w:sz="0" w:space="0" w:color="auto"/>
            <w:left w:val="none" w:sz="0" w:space="0" w:color="auto"/>
            <w:bottom w:val="none" w:sz="0" w:space="0" w:color="auto"/>
            <w:right w:val="none" w:sz="0" w:space="0" w:color="auto"/>
          </w:divBdr>
        </w:div>
        <w:div w:id="810292923">
          <w:marLeft w:val="0"/>
          <w:marRight w:val="0"/>
          <w:marTop w:val="0"/>
          <w:marBottom w:val="0"/>
          <w:divBdr>
            <w:top w:val="none" w:sz="0" w:space="0" w:color="auto"/>
            <w:left w:val="none" w:sz="0" w:space="0" w:color="auto"/>
            <w:bottom w:val="none" w:sz="0" w:space="0" w:color="auto"/>
            <w:right w:val="none" w:sz="0" w:space="0" w:color="auto"/>
          </w:divBdr>
        </w:div>
        <w:div w:id="1911379488">
          <w:marLeft w:val="0"/>
          <w:marRight w:val="0"/>
          <w:marTop w:val="0"/>
          <w:marBottom w:val="0"/>
          <w:divBdr>
            <w:top w:val="none" w:sz="0" w:space="0" w:color="auto"/>
            <w:left w:val="none" w:sz="0" w:space="0" w:color="auto"/>
            <w:bottom w:val="none" w:sz="0" w:space="0" w:color="auto"/>
            <w:right w:val="none" w:sz="0" w:space="0" w:color="auto"/>
          </w:divBdr>
        </w:div>
        <w:div w:id="1981687200">
          <w:marLeft w:val="0"/>
          <w:marRight w:val="0"/>
          <w:marTop w:val="0"/>
          <w:marBottom w:val="0"/>
          <w:divBdr>
            <w:top w:val="none" w:sz="0" w:space="0" w:color="auto"/>
            <w:left w:val="none" w:sz="0" w:space="0" w:color="auto"/>
            <w:bottom w:val="none" w:sz="0" w:space="0" w:color="auto"/>
            <w:right w:val="none" w:sz="0" w:space="0" w:color="auto"/>
          </w:divBdr>
        </w:div>
        <w:div w:id="2042051151">
          <w:marLeft w:val="0"/>
          <w:marRight w:val="0"/>
          <w:marTop w:val="0"/>
          <w:marBottom w:val="0"/>
          <w:divBdr>
            <w:top w:val="none" w:sz="0" w:space="0" w:color="auto"/>
            <w:left w:val="none" w:sz="0" w:space="0" w:color="auto"/>
            <w:bottom w:val="none" w:sz="0" w:space="0" w:color="auto"/>
            <w:right w:val="none" w:sz="0" w:space="0" w:color="auto"/>
          </w:divBdr>
        </w:div>
      </w:divsChild>
    </w:div>
    <w:div w:id="2067414019">
      <w:bodyDiv w:val="1"/>
      <w:marLeft w:val="0"/>
      <w:marRight w:val="0"/>
      <w:marTop w:val="0"/>
      <w:marBottom w:val="0"/>
      <w:divBdr>
        <w:top w:val="none" w:sz="0" w:space="0" w:color="auto"/>
        <w:left w:val="none" w:sz="0" w:space="0" w:color="auto"/>
        <w:bottom w:val="none" w:sz="0" w:space="0" w:color="auto"/>
        <w:right w:val="none" w:sz="0" w:space="0" w:color="auto"/>
      </w:divBdr>
    </w:div>
    <w:div w:id="2078745642">
      <w:bodyDiv w:val="1"/>
      <w:marLeft w:val="0"/>
      <w:marRight w:val="0"/>
      <w:marTop w:val="0"/>
      <w:marBottom w:val="0"/>
      <w:divBdr>
        <w:top w:val="none" w:sz="0" w:space="0" w:color="auto"/>
        <w:left w:val="none" w:sz="0" w:space="0" w:color="auto"/>
        <w:bottom w:val="none" w:sz="0" w:space="0" w:color="auto"/>
        <w:right w:val="none" w:sz="0" w:space="0" w:color="auto"/>
      </w:divBdr>
    </w:div>
    <w:div w:id="2096319056">
      <w:bodyDiv w:val="1"/>
      <w:marLeft w:val="0"/>
      <w:marRight w:val="0"/>
      <w:marTop w:val="0"/>
      <w:marBottom w:val="0"/>
      <w:divBdr>
        <w:top w:val="none" w:sz="0" w:space="0" w:color="auto"/>
        <w:left w:val="none" w:sz="0" w:space="0" w:color="auto"/>
        <w:bottom w:val="none" w:sz="0" w:space="0" w:color="auto"/>
        <w:right w:val="none" w:sz="0" w:space="0" w:color="auto"/>
      </w:divBdr>
    </w:div>
    <w:div w:id="2101021090">
      <w:bodyDiv w:val="1"/>
      <w:marLeft w:val="0"/>
      <w:marRight w:val="0"/>
      <w:marTop w:val="0"/>
      <w:marBottom w:val="0"/>
      <w:divBdr>
        <w:top w:val="none" w:sz="0" w:space="0" w:color="auto"/>
        <w:left w:val="none" w:sz="0" w:space="0" w:color="auto"/>
        <w:bottom w:val="none" w:sz="0" w:space="0" w:color="auto"/>
        <w:right w:val="none" w:sz="0" w:space="0" w:color="auto"/>
      </w:divBdr>
    </w:div>
    <w:div w:id="212195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RRconsultation@communities.gs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overnment/consultations/self-sufficient-local-government-100-business-rates-retentio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FF9B4-6B97-4569-BB41-7EF747CE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22</Pages>
  <Words>6591</Words>
  <Characters>37571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Heading 1</vt:lpstr>
    </vt:vector>
  </TitlesOfParts>
  <Company>Supercool Design</Company>
  <LinksUpToDate>false</LinksUpToDate>
  <CharactersWithSpaces>44074</CharactersWithSpaces>
  <SharedDoc>false</SharedDoc>
  <HLinks>
    <vt:vector size="30" baseType="variant">
      <vt:variant>
        <vt:i4>1245245</vt:i4>
      </vt:variant>
      <vt:variant>
        <vt:i4>20</vt:i4>
      </vt:variant>
      <vt:variant>
        <vt:i4>0</vt:i4>
      </vt:variant>
      <vt:variant>
        <vt:i4>5</vt:i4>
      </vt:variant>
      <vt:variant>
        <vt:lpwstr/>
      </vt:variant>
      <vt:variant>
        <vt:lpwstr>_Toc335722928</vt:lpwstr>
      </vt:variant>
      <vt:variant>
        <vt:i4>1245245</vt:i4>
      </vt:variant>
      <vt:variant>
        <vt:i4>14</vt:i4>
      </vt:variant>
      <vt:variant>
        <vt:i4>0</vt:i4>
      </vt:variant>
      <vt:variant>
        <vt:i4>5</vt:i4>
      </vt:variant>
      <vt:variant>
        <vt:lpwstr/>
      </vt:variant>
      <vt:variant>
        <vt:lpwstr>_Toc335722921</vt:lpwstr>
      </vt:variant>
      <vt:variant>
        <vt:i4>1048637</vt:i4>
      </vt:variant>
      <vt:variant>
        <vt:i4>8</vt:i4>
      </vt:variant>
      <vt:variant>
        <vt:i4>0</vt:i4>
      </vt:variant>
      <vt:variant>
        <vt:i4>5</vt:i4>
      </vt:variant>
      <vt:variant>
        <vt:lpwstr/>
      </vt:variant>
      <vt:variant>
        <vt:lpwstr>_Toc335722915</vt:lpwstr>
      </vt:variant>
      <vt:variant>
        <vt:i4>1114173</vt:i4>
      </vt:variant>
      <vt:variant>
        <vt:i4>2</vt:i4>
      </vt:variant>
      <vt:variant>
        <vt:i4>0</vt:i4>
      </vt:variant>
      <vt:variant>
        <vt:i4>5</vt:i4>
      </vt:variant>
      <vt:variant>
        <vt:lpwstr/>
      </vt:variant>
      <vt:variant>
        <vt:lpwstr>_Toc335722909</vt:lpwstr>
      </vt:variant>
      <vt:variant>
        <vt:i4>1769510</vt:i4>
      </vt:variant>
      <vt:variant>
        <vt:i4>0</vt:i4>
      </vt:variant>
      <vt:variant>
        <vt:i4>0</vt:i4>
      </vt:variant>
      <vt:variant>
        <vt:i4>5</vt:i4>
      </vt:variant>
      <vt:variant>
        <vt:lpwstr>mailto:lee.geraghty@lgfutures.co.uk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creator>Claire Swift</dc:creator>
  <cp:lastModifiedBy>Lee Geraghty</cp:lastModifiedBy>
  <cp:revision>13</cp:revision>
  <cp:lastPrinted>2016-08-09T10:00:00Z</cp:lastPrinted>
  <dcterms:created xsi:type="dcterms:W3CDTF">2016-07-28T09:09:00Z</dcterms:created>
  <dcterms:modified xsi:type="dcterms:W3CDTF">2016-08-09T15:24:00Z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988285170</vt:i4>
  </property>
</Properties>
</file>