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283" w:rsidRPr="00DE5283" w:rsidRDefault="00DE5283">
      <w:pPr>
        <w:rPr>
          <w:rFonts w:ascii="Trebuchet MS" w:hAnsi="Trebuchet MS"/>
          <w:b/>
          <w:bCs/>
          <w:sz w:val="24"/>
          <w:szCs w:val="24"/>
        </w:rPr>
      </w:pPr>
      <w:r w:rsidRPr="00DE5283">
        <w:rPr>
          <w:rFonts w:ascii="Trebuchet MS" w:hAnsi="Trebuchet MS"/>
          <w:b/>
          <w:bCs/>
          <w:sz w:val="24"/>
          <w:szCs w:val="24"/>
        </w:rPr>
        <w:t>SDCT response to:</w:t>
      </w:r>
    </w:p>
    <w:p w:rsidR="00DE5283" w:rsidRPr="00DE5283" w:rsidRDefault="00DE5283" w:rsidP="00FD50CA">
      <w:pPr>
        <w:rPr>
          <w:rFonts w:ascii="Trebuchet MS" w:hAnsi="Trebuchet MS"/>
          <w:b/>
          <w:bCs/>
          <w:sz w:val="24"/>
          <w:szCs w:val="24"/>
        </w:rPr>
      </w:pPr>
      <w:r w:rsidRPr="00DE5283">
        <w:rPr>
          <w:rFonts w:ascii="Trebuchet MS" w:hAnsi="Trebuchet MS"/>
          <w:b/>
          <w:bCs/>
          <w:sz w:val="24"/>
          <w:szCs w:val="24"/>
        </w:rPr>
        <w:t>UK Parliament Public Accounts Committee: Local Authority Commercial Investment Inquiry</w:t>
      </w:r>
    </w:p>
    <w:p w:rsidR="00FD50CA" w:rsidRDefault="00FD50CA">
      <w:pPr>
        <w:rPr>
          <w:rFonts w:ascii="Trebuchet MS" w:hAnsi="Trebuchet MS"/>
          <w:sz w:val="24"/>
          <w:szCs w:val="24"/>
        </w:rPr>
      </w:pPr>
    </w:p>
    <w:p w:rsidR="00DE5283" w:rsidRPr="00FD50CA" w:rsidRDefault="00FD50CA">
      <w:pPr>
        <w:rPr>
          <w:rFonts w:ascii="Trebuchet MS" w:hAnsi="Trebuchet MS"/>
          <w:b/>
          <w:bCs/>
          <w:sz w:val="24"/>
          <w:szCs w:val="24"/>
        </w:rPr>
      </w:pPr>
      <w:r w:rsidRPr="00FD50CA">
        <w:rPr>
          <w:rFonts w:ascii="Trebuchet MS" w:hAnsi="Trebuchet MS"/>
          <w:b/>
          <w:bCs/>
          <w:sz w:val="24"/>
          <w:szCs w:val="24"/>
        </w:rPr>
        <w:t>Detail on Government website:</w:t>
      </w:r>
    </w:p>
    <w:p w:rsidR="00DE5283" w:rsidRPr="00DE5283" w:rsidRDefault="00DE5283" w:rsidP="00DE5283">
      <w:pPr>
        <w:shd w:val="clear" w:color="auto" w:fill="F8F6FC"/>
        <w:spacing w:after="180" w:line="240" w:lineRule="auto"/>
        <w:rPr>
          <w:rFonts w:ascii="National" w:eastAsia="Times New Roman" w:hAnsi="National" w:cs="Segoe UI"/>
          <w:color w:val="000000"/>
          <w:sz w:val="24"/>
          <w:szCs w:val="24"/>
          <w:lang w:val="en" w:eastAsia="en-GB"/>
        </w:rPr>
      </w:pPr>
      <w:r w:rsidRPr="00DE5283">
        <w:rPr>
          <w:rFonts w:ascii="National" w:eastAsia="Times New Roman" w:hAnsi="National" w:cs="Segoe UI"/>
          <w:color w:val="000000"/>
          <w:sz w:val="24"/>
          <w:szCs w:val="24"/>
          <w:lang w:val="en" w:eastAsia="en-GB"/>
        </w:rPr>
        <w:t>Local authorities have invested in commercial property for a long time, but there has been a recent step-change in the scale of activity. Estimated commercial property purchases for 2013-14 to 2015-16 were £460m; compared to an estimated £6.6bn for 2016-17 to 2018-19.The NAO’s report ‘Local authority commercial investment’ assesses whether MHCLG has effective oversight of the risks to the financial sustainability of local authorities due to their investments in commercial property.</w:t>
      </w:r>
    </w:p>
    <w:p w:rsidR="00DE5283" w:rsidRPr="00DE5283" w:rsidRDefault="00DE5283" w:rsidP="00DE5283">
      <w:pPr>
        <w:shd w:val="clear" w:color="auto" w:fill="F8F6FC"/>
        <w:spacing w:after="180" w:line="240" w:lineRule="auto"/>
        <w:rPr>
          <w:rFonts w:ascii="National" w:eastAsia="Times New Roman" w:hAnsi="National" w:cs="Segoe UI"/>
          <w:color w:val="000000"/>
          <w:sz w:val="24"/>
          <w:szCs w:val="24"/>
          <w:lang w:val="en" w:eastAsia="en-GB"/>
        </w:rPr>
      </w:pPr>
      <w:r w:rsidRPr="00DE5283">
        <w:rPr>
          <w:rFonts w:ascii="National" w:eastAsia="Times New Roman" w:hAnsi="National" w:cs="Segoe UI"/>
          <w:color w:val="000000"/>
          <w:sz w:val="24"/>
          <w:szCs w:val="24"/>
          <w:lang w:val="en" w:eastAsia="en-GB"/>
        </w:rPr>
        <w:t>The report finds that there has been a significant increase in out-of-area commercial property acquisition. There has also been an increase in acquisitions that are outside the acquiring authority’s LEP area. The report also finds that changes made by CIPFA and MHCLG to statutory guidance have not stopped some authorities borrowing large sums, to invest in commercial property. Commercial property acquisition is concentrated in a relatively small proportion of authorities. The NAO conclude that local auditors have raised concerns about the governance and risk management arrangements for investment activity in some authorities. The data MHCLG collects has limited usefulness for monitoring commercial activity and assessing its risks.</w:t>
      </w:r>
    </w:p>
    <w:p w:rsidR="00DE5283" w:rsidRPr="00DE5283" w:rsidRDefault="00DE5283" w:rsidP="00DE5283">
      <w:pPr>
        <w:shd w:val="clear" w:color="auto" w:fill="F8F6FC"/>
        <w:spacing w:after="180" w:line="240" w:lineRule="auto"/>
        <w:rPr>
          <w:rFonts w:ascii="National" w:eastAsia="Times New Roman" w:hAnsi="National" w:cs="Segoe UI"/>
          <w:color w:val="000000"/>
          <w:sz w:val="24"/>
          <w:szCs w:val="24"/>
          <w:lang w:val="en" w:eastAsia="en-GB"/>
        </w:rPr>
      </w:pPr>
      <w:r w:rsidRPr="00DE5283">
        <w:rPr>
          <w:rFonts w:ascii="National" w:eastAsia="Times New Roman" w:hAnsi="National" w:cs="Segoe UI"/>
          <w:color w:val="000000"/>
          <w:sz w:val="24"/>
          <w:szCs w:val="24"/>
          <w:lang w:val="en" w:eastAsia="en-GB"/>
        </w:rPr>
        <w:t>The Committee will question officials from the Ministry of Housing, Communities, and Local Government on gaps in commercial skills in local government, and the extent to which the Department formally monitors commercial activity and long-term exposure to risk.</w:t>
      </w:r>
    </w:p>
    <w:p w:rsidR="00DE5283" w:rsidRPr="00DE5283" w:rsidRDefault="00DE5283" w:rsidP="00DE5283">
      <w:pPr>
        <w:shd w:val="clear" w:color="auto" w:fill="F8F6FC"/>
        <w:spacing w:after="180" w:line="240" w:lineRule="auto"/>
        <w:rPr>
          <w:rFonts w:ascii="National" w:eastAsia="Times New Roman" w:hAnsi="National" w:cs="Segoe UI"/>
          <w:color w:val="000000"/>
          <w:sz w:val="24"/>
          <w:szCs w:val="24"/>
          <w:lang w:val="en" w:eastAsia="en-GB"/>
        </w:rPr>
      </w:pPr>
      <w:r w:rsidRPr="00DE5283">
        <w:rPr>
          <w:rFonts w:ascii="National" w:eastAsia="Times New Roman" w:hAnsi="National" w:cs="Segoe UI"/>
          <w:color w:val="000000"/>
          <w:sz w:val="24"/>
          <w:szCs w:val="24"/>
          <w:lang w:val="en" w:eastAsia="en-GB"/>
        </w:rPr>
        <w:t>The Committee will also ask officials about the Ministry’s response to COVID-19, and what impact the pandemic has had on local government finances.</w:t>
      </w:r>
    </w:p>
    <w:p w:rsidR="00DE5283" w:rsidRPr="00DE5283" w:rsidRDefault="00DE5283" w:rsidP="00DE5283">
      <w:pPr>
        <w:shd w:val="clear" w:color="auto" w:fill="F8F6FC"/>
        <w:spacing w:line="240" w:lineRule="auto"/>
        <w:rPr>
          <w:rFonts w:ascii="National" w:eastAsia="Times New Roman" w:hAnsi="National" w:cs="Segoe UI"/>
          <w:color w:val="000000"/>
          <w:sz w:val="24"/>
          <w:szCs w:val="24"/>
          <w:lang w:val="en" w:eastAsia="en-GB"/>
        </w:rPr>
      </w:pPr>
      <w:bookmarkStart w:id="0" w:name="_Hlk39234818"/>
      <w:r w:rsidRPr="00DE5283">
        <w:rPr>
          <w:rFonts w:ascii="National" w:eastAsia="Times New Roman" w:hAnsi="National" w:cs="Segoe UI"/>
          <w:color w:val="000000"/>
          <w:sz w:val="24"/>
          <w:szCs w:val="24"/>
          <w:lang w:val="en" w:eastAsia="en-GB"/>
        </w:rPr>
        <w:t>The NAO’s February 2020 report on ‘Local authority commercial investment’ assesses whether MHCLG has effective oversight of the risks to the financial sustainability of local authorities due to their investments in commercial property.</w:t>
      </w:r>
    </w:p>
    <w:bookmarkEnd w:id="0"/>
    <w:p w:rsidR="00DE5283" w:rsidRDefault="00DE5283">
      <w:pPr>
        <w:rPr>
          <w:rFonts w:ascii="Trebuchet MS" w:hAnsi="Trebuchet MS"/>
          <w:sz w:val="24"/>
          <w:szCs w:val="24"/>
        </w:rPr>
      </w:pPr>
    </w:p>
    <w:p w:rsidR="000E399F" w:rsidRDefault="000E399F">
      <w:pPr>
        <w:rPr>
          <w:rFonts w:ascii="Trebuchet MS" w:hAnsi="Trebuchet MS"/>
          <w:b/>
          <w:bCs/>
          <w:sz w:val="24"/>
          <w:szCs w:val="24"/>
        </w:rPr>
      </w:pPr>
    </w:p>
    <w:p w:rsidR="000E399F" w:rsidRDefault="000E399F">
      <w:pPr>
        <w:rPr>
          <w:rFonts w:ascii="Trebuchet MS" w:hAnsi="Trebuchet MS"/>
          <w:b/>
          <w:bCs/>
          <w:sz w:val="24"/>
          <w:szCs w:val="24"/>
        </w:rPr>
      </w:pPr>
    </w:p>
    <w:p w:rsidR="000E399F" w:rsidRDefault="000E399F">
      <w:pPr>
        <w:rPr>
          <w:rFonts w:ascii="Trebuchet MS" w:hAnsi="Trebuchet MS"/>
          <w:b/>
          <w:bCs/>
          <w:sz w:val="24"/>
          <w:szCs w:val="24"/>
        </w:rPr>
      </w:pPr>
    </w:p>
    <w:p w:rsidR="000E399F" w:rsidRDefault="000E399F">
      <w:pPr>
        <w:rPr>
          <w:rFonts w:ascii="Trebuchet MS" w:hAnsi="Trebuchet MS"/>
          <w:b/>
          <w:bCs/>
          <w:sz w:val="24"/>
          <w:szCs w:val="24"/>
        </w:rPr>
      </w:pPr>
    </w:p>
    <w:p w:rsidR="000E399F" w:rsidRDefault="000E399F">
      <w:pPr>
        <w:rPr>
          <w:rFonts w:ascii="Trebuchet MS" w:hAnsi="Trebuchet MS"/>
          <w:b/>
          <w:bCs/>
          <w:sz w:val="24"/>
          <w:szCs w:val="24"/>
        </w:rPr>
      </w:pPr>
    </w:p>
    <w:p w:rsidR="000E399F" w:rsidRDefault="000E399F">
      <w:pPr>
        <w:rPr>
          <w:rFonts w:ascii="Trebuchet MS" w:hAnsi="Trebuchet MS"/>
          <w:b/>
          <w:bCs/>
          <w:sz w:val="24"/>
          <w:szCs w:val="24"/>
        </w:rPr>
      </w:pPr>
    </w:p>
    <w:p w:rsidR="000E399F" w:rsidRDefault="000E399F">
      <w:pPr>
        <w:rPr>
          <w:rFonts w:ascii="Trebuchet MS" w:hAnsi="Trebuchet MS"/>
          <w:b/>
          <w:bCs/>
          <w:sz w:val="24"/>
          <w:szCs w:val="24"/>
        </w:rPr>
      </w:pPr>
    </w:p>
    <w:p w:rsidR="000E399F" w:rsidRDefault="000E399F">
      <w:pPr>
        <w:rPr>
          <w:rFonts w:ascii="Trebuchet MS" w:hAnsi="Trebuchet MS"/>
          <w:b/>
          <w:bCs/>
          <w:sz w:val="24"/>
          <w:szCs w:val="24"/>
        </w:rPr>
      </w:pPr>
    </w:p>
    <w:p w:rsidR="00EE7F1C" w:rsidRPr="00EE7F1C" w:rsidRDefault="00EE7F1C">
      <w:pPr>
        <w:rPr>
          <w:rFonts w:ascii="Trebuchet MS" w:hAnsi="Trebuchet MS"/>
          <w:b/>
          <w:bCs/>
          <w:sz w:val="24"/>
          <w:szCs w:val="24"/>
        </w:rPr>
      </w:pPr>
      <w:r w:rsidRPr="00EE7F1C">
        <w:rPr>
          <w:rFonts w:ascii="Trebuchet MS" w:hAnsi="Trebuchet MS"/>
          <w:b/>
          <w:bCs/>
          <w:sz w:val="24"/>
          <w:szCs w:val="24"/>
        </w:rPr>
        <w:lastRenderedPageBreak/>
        <w:t>Response</w:t>
      </w:r>
    </w:p>
    <w:p w:rsidR="00EE7F1C" w:rsidRDefault="00EE7F1C">
      <w:pPr>
        <w:rPr>
          <w:rFonts w:ascii="Trebuchet MS" w:hAnsi="Trebuchet MS"/>
          <w:sz w:val="24"/>
          <w:szCs w:val="24"/>
        </w:rPr>
      </w:pPr>
    </w:p>
    <w:p w:rsidR="00E03B51" w:rsidRDefault="00EE7F1C">
      <w:pPr>
        <w:rPr>
          <w:rFonts w:ascii="Trebuchet MS" w:hAnsi="Trebuchet MS"/>
          <w:sz w:val="24"/>
          <w:szCs w:val="24"/>
        </w:rPr>
      </w:pPr>
      <w:r>
        <w:rPr>
          <w:rFonts w:ascii="Trebuchet MS" w:hAnsi="Trebuchet MS"/>
          <w:sz w:val="24"/>
          <w:szCs w:val="24"/>
        </w:rPr>
        <w:t>Responder</w:t>
      </w:r>
      <w:r>
        <w:rPr>
          <w:rFonts w:ascii="Trebuchet MS" w:hAnsi="Trebuchet MS"/>
          <w:sz w:val="24"/>
          <w:szCs w:val="24"/>
        </w:rPr>
        <w:tab/>
      </w:r>
    </w:p>
    <w:p w:rsidR="00EE7F1C" w:rsidRDefault="00EE7F1C">
      <w:pPr>
        <w:rPr>
          <w:rFonts w:ascii="Trebuchet MS" w:hAnsi="Trebuchet MS"/>
          <w:sz w:val="24"/>
          <w:szCs w:val="24"/>
        </w:rPr>
      </w:pPr>
      <w:r>
        <w:rPr>
          <w:rFonts w:ascii="Trebuchet MS" w:hAnsi="Trebuchet MS"/>
          <w:sz w:val="24"/>
          <w:szCs w:val="24"/>
        </w:rPr>
        <w:t>Name:</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sidR="00634429">
        <w:rPr>
          <w:rFonts w:ascii="Trebuchet MS" w:hAnsi="Trebuchet MS"/>
          <w:sz w:val="24"/>
          <w:szCs w:val="24"/>
        </w:rPr>
        <w:tab/>
      </w:r>
      <w:r w:rsidR="00634429">
        <w:rPr>
          <w:rFonts w:ascii="Trebuchet MS" w:hAnsi="Trebuchet MS"/>
          <w:sz w:val="24"/>
          <w:szCs w:val="24"/>
        </w:rPr>
        <w:tab/>
      </w:r>
      <w:bookmarkStart w:id="1" w:name="_GoBack"/>
      <w:bookmarkEnd w:id="1"/>
      <w:r>
        <w:rPr>
          <w:rFonts w:ascii="Trebuchet MS" w:hAnsi="Trebuchet MS"/>
          <w:sz w:val="24"/>
          <w:szCs w:val="24"/>
        </w:rPr>
        <w:t>Adrian Rowbotham</w:t>
      </w:r>
    </w:p>
    <w:p w:rsidR="00EE7F1C" w:rsidRDefault="00EE7F1C">
      <w:pPr>
        <w:rPr>
          <w:rFonts w:ascii="Trebuchet MS" w:hAnsi="Trebuchet MS"/>
          <w:sz w:val="24"/>
          <w:szCs w:val="24"/>
        </w:rPr>
      </w:pPr>
      <w:r>
        <w:rPr>
          <w:rFonts w:ascii="Trebuchet MS" w:hAnsi="Trebuchet MS"/>
          <w:sz w:val="24"/>
          <w:szCs w:val="24"/>
        </w:rPr>
        <w:t>Organisation:</w:t>
      </w:r>
      <w:r>
        <w:rPr>
          <w:rFonts w:ascii="Trebuchet MS" w:hAnsi="Trebuchet MS"/>
          <w:sz w:val="24"/>
          <w:szCs w:val="24"/>
        </w:rPr>
        <w:tab/>
      </w:r>
      <w:r>
        <w:rPr>
          <w:rFonts w:ascii="Trebuchet MS" w:hAnsi="Trebuchet MS"/>
          <w:sz w:val="24"/>
          <w:szCs w:val="24"/>
        </w:rPr>
        <w:tab/>
      </w:r>
      <w:r w:rsidR="00634429">
        <w:rPr>
          <w:rFonts w:ascii="Trebuchet MS" w:hAnsi="Trebuchet MS"/>
          <w:sz w:val="24"/>
          <w:szCs w:val="24"/>
        </w:rPr>
        <w:tab/>
      </w:r>
      <w:r w:rsidR="00634429">
        <w:rPr>
          <w:rFonts w:ascii="Trebuchet MS" w:hAnsi="Trebuchet MS"/>
          <w:sz w:val="24"/>
          <w:szCs w:val="24"/>
        </w:rPr>
        <w:tab/>
      </w:r>
      <w:r>
        <w:rPr>
          <w:rFonts w:ascii="Trebuchet MS" w:hAnsi="Trebuchet MS"/>
          <w:sz w:val="24"/>
          <w:szCs w:val="24"/>
        </w:rPr>
        <w:t>Society of District Council Treasurers</w:t>
      </w:r>
    </w:p>
    <w:p w:rsidR="005B7769" w:rsidRDefault="005B7769" w:rsidP="00634429">
      <w:pPr>
        <w:ind w:left="3600" w:hanging="3600"/>
        <w:rPr>
          <w:rFonts w:ascii="Trebuchet MS" w:hAnsi="Trebuchet MS"/>
          <w:sz w:val="24"/>
          <w:szCs w:val="24"/>
        </w:rPr>
      </w:pPr>
      <w:r>
        <w:rPr>
          <w:rFonts w:ascii="Trebuchet MS" w:hAnsi="Trebuchet MS"/>
          <w:sz w:val="24"/>
          <w:szCs w:val="24"/>
        </w:rPr>
        <w:t xml:space="preserve">Role: </w:t>
      </w:r>
      <w:r w:rsidR="00E03B51">
        <w:rPr>
          <w:rFonts w:ascii="Trebuchet MS" w:hAnsi="Trebuchet MS"/>
          <w:sz w:val="24"/>
          <w:szCs w:val="24"/>
        </w:rPr>
        <w:tab/>
      </w:r>
      <w:r>
        <w:rPr>
          <w:rFonts w:ascii="Trebuchet MS" w:hAnsi="Trebuchet MS"/>
          <w:sz w:val="24"/>
          <w:szCs w:val="24"/>
        </w:rPr>
        <w:t>Lead Advisor for Growth and the Commercial Agenda</w:t>
      </w:r>
    </w:p>
    <w:p w:rsidR="00C34B81" w:rsidRDefault="00C34B81">
      <w:pPr>
        <w:rPr>
          <w:rFonts w:ascii="Trebuchet MS" w:hAnsi="Trebuchet MS"/>
          <w:sz w:val="24"/>
          <w:szCs w:val="24"/>
        </w:rPr>
      </w:pPr>
      <w:r>
        <w:rPr>
          <w:rFonts w:ascii="Trebuchet MS" w:hAnsi="Trebuchet MS"/>
          <w:sz w:val="24"/>
          <w:szCs w:val="24"/>
        </w:rPr>
        <w:t>Reason for submitting evidence:</w:t>
      </w:r>
      <w:r>
        <w:rPr>
          <w:rFonts w:ascii="Trebuchet MS" w:hAnsi="Trebuchet MS"/>
          <w:sz w:val="24"/>
          <w:szCs w:val="24"/>
        </w:rPr>
        <w:tab/>
        <w:t>Representing District Council Section 151 Officers</w:t>
      </w:r>
    </w:p>
    <w:p w:rsidR="00E03B51" w:rsidRDefault="00E03B51">
      <w:pPr>
        <w:rPr>
          <w:rFonts w:ascii="Trebuchet MS" w:hAnsi="Trebuchet MS"/>
          <w:sz w:val="24"/>
          <w:szCs w:val="24"/>
        </w:rPr>
      </w:pPr>
    </w:p>
    <w:p w:rsidR="00E03B51" w:rsidRDefault="00E03B51">
      <w:pPr>
        <w:rPr>
          <w:rFonts w:ascii="Trebuchet MS" w:hAnsi="Trebuchet MS"/>
          <w:sz w:val="24"/>
          <w:szCs w:val="24"/>
        </w:rPr>
      </w:pPr>
    </w:p>
    <w:p w:rsidR="006828AC" w:rsidRPr="00FD3E60" w:rsidRDefault="00E03B51">
      <w:pPr>
        <w:rPr>
          <w:rFonts w:ascii="Trebuchet MS" w:hAnsi="Trebuchet MS"/>
          <w:b/>
          <w:bCs/>
          <w:sz w:val="24"/>
          <w:szCs w:val="24"/>
        </w:rPr>
      </w:pPr>
      <w:r w:rsidRPr="00FD3E60">
        <w:rPr>
          <w:rFonts w:ascii="Trebuchet MS" w:hAnsi="Trebuchet MS"/>
          <w:b/>
          <w:bCs/>
          <w:sz w:val="24"/>
          <w:szCs w:val="24"/>
        </w:rPr>
        <w:t>Background</w:t>
      </w:r>
    </w:p>
    <w:p w:rsidR="00E03B51" w:rsidRDefault="00654DCA" w:rsidP="00654DCA">
      <w:pPr>
        <w:pStyle w:val="ListParagraph"/>
        <w:numPr>
          <w:ilvl w:val="0"/>
          <w:numId w:val="2"/>
        </w:numPr>
        <w:ind w:left="426" w:hanging="426"/>
        <w:rPr>
          <w:rFonts w:ascii="Trebuchet MS" w:hAnsi="Trebuchet MS"/>
          <w:sz w:val="24"/>
          <w:szCs w:val="24"/>
        </w:rPr>
      </w:pPr>
      <w:r>
        <w:rPr>
          <w:rFonts w:ascii="Trebuchet MS" w:hAnsi="Trebuchet MS"/>
          <w:sz w:val="24"/>
          <w:szCs w:val="24"/>
        </w:rPr>
        <w:t xml:space="preserve">The Society of District Council Treasurers (SDCT) was formed in 1974 and represents the 188 district council finance functions in England.  </w:t>
      </w:r>
    </w:p>
    <w:p w:rsidR="00E03B51" w:rsidRDefault="00E03B51" w:rsidP="00E03B51">
      <w:pPr>
        <w:pStyle w:val="ListParagraph"/>
        <w:ind w:left="426"/>
        <w:rPr>
          <w:rFonts w:ascii="Trebuchet MS" w:hAnsi="Trebuchet MS"/>
          <w:sz w:val="24"/>
          <w:szCs w:val="24"/>
        </w:rPr>
      </w:pPr>
    </w:p>
    <w:p w:rsidR="00654DCA" w:rsidRDefault="00654DCA" w:rsidP="00654DCA">
      <w:pPr>
        <w:pStyle w:val="ListParagraph"/>
        <w:numPr>
          <w:ilvl w:val="0"/>
          <w:numId w:val="2"/>
        </w:numPr>
        <w:ind w:left="426" w:hanging="426"/>
        <w:rPr>
          <w:rFonts w:ascii="Trebuchet MS" w:hAnsi="Trebuchet MS"/>
          <w:sz w:val="24"/>
          <w:szCs w:val="24"/>
        </w:rPr>
      </w:pPr>
      <w:r>
        <w:rPr>
          <w:rFonts w:ascii="Trebuchet MS" w:hAnsi="Trebuchet MS"/>
          <w:sz w:val="24"/>
          <w:szCs w:val="24"/>
        </w:rPr>
        <w:t>The Executive Committee of SDCT comprises of up to 26 of the district council chief finance officers (</w:t>
      </w:r>
      <w:r w:rsidR="00494095">
        <w:rPr>
          <w:rFonts w:ascii="Trebuchet MS" w:hAnsi="Trebuchet MS"/>
          <w:sz w:val="24"/>
          <w:szCs w:val="24"/>
        </w:rPr>
        <w:t>s</w:t>
      </w:r>
      <w:r>
        <w:rPr>
          <w:rFonts w:ascii="Trebuchet MS" w:hAnsi="Trebuchet MS"/>
          <w:sz w:val="24"/>
          <w:szCs w:val="24"/>
        </w:rPr>
        <w:t>151) who take responsibility for advising and leading on specific areas relevant to the finance profession.</w:t>
      </w:r>
    </w:p>
    <w:p w:rsidR="00E03B51" w:rsidRPr="00E03B51" w:rsidRDefault="00E03B51" w:rsidP="00E03B51">
      <w:pPr>
        <w:pStyle w:val="ListParagraph"/>
        <w:rPr>
          <w:rFonts w:ascii="Trebuchet MS" w:hAnsi="Trebuchet MS"/>
          <w:sz w:val="24"/>
          <w:szCs w:val="24"/>
        </w:rPr>
      </w:pPr>
    </w:p>
    <w:p w:rsidR="00E03B51" w:rsidRPr="00FD3E60" w:rsidRDefault="00E03B51" w:rsidP="00E03B51">
      <w:pPr>
        <w:rPr>
          <w:rFonts w:ascii="Trebuchet MS" w:hAnsi="Trebuchet MS"/>
          <w:b/>
          <w:bCs/>
          <w:sz w:val="24"/>
          <w:szCs w:val="24"/>
        </w:rPr>
      </w:pPr>
      <w:r w:rsidRPr="00FD3E60">
        <w:rPr>
          <w:rFonts w:ascii="Trebuchet MS" w:hAnsi="Trebuchet MS"/>
          <w:b/>
          <w:bCs/>
          <w:sz w:val="24"/>
          <w:szCs w:val="24"/>
        </w:rPr>
        <w:t>District Council Funding</w:t>
      </w:r>
    </w:p>
    <w:p w:rsidR="00E03B51" w:rsidRPr="00605677" w:rsidRDefault="00E03B51"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 xml:space="preserve">Local authorities </w:t>
      </w:r>
      <w:r w:rsidRPr="00605677">
        <w:rPr>
          <w:rFonts w:ascii="Trebuchet MS" w:hAnsi="Trebuchet MS"/>
          <w:b/>
          <w:sz w:val="24"/>
          <w:szCs w:val="24"/>
        </w:rPr>
        <w:t>and district councils in particular</w:t>
      </w:r>
      <w:r w:rsidRPr="00605677">
        <w:rPr>
          <w:rFonts w:ascii="Trebuchet MS" w:hAnsi="Trebuchet MS"/>
          <w:sz w:val="24"/>
          <w:szCs w:val="24"/>
        </w:rPr>
        <w:t>, require new and innovative income streams to enable them to continue to deliver statutory services to the high standard required by the public.</w:t>
      </w:r>
    </w:p>
    <w:p w:rsidR="00E03B51" w:rsidRPr="00605677" w:rsidRDefault="00E03B51" w:rsidP="00E03B51">
      <w:pPr>
        <w:pStyle w:val="ListParagraph"/>
        <w:ind w:left="426"/>
        <w:rPr>
          <w:rFonts w:ascii="Trebuchet MS" w:hAnsi="Trebuchet MS"/>
          <w:sz w:val="24"/>
          <w:szCs w:val="24"/>
        </w:rPr>
      </w:pPr>
    </w:p>
    <w:p w:rsidR="00E03B51" w:rsidRPr="00605677" w:rsidRDefault="00E03B51"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 xml:space="preserve">Many district councils no longer receive any Revenue Support Grant (RSG) from the Government with negative RSG still a possibility in one form or another. </w:t>
      </w:r>
    </w:p>
    <w:p w:rsidR="00E03B51" w:rsidRPr="00605677" w:rsidRDefault="00E03B51" w:rsidP="00E03B51">
      <w:pPr>
        <w:pStyle w:val="ListParagraph"/>
        <w:rPr>
          <w:rFonts w:ascii="Trebuchet MS" w:hAnsi="Trebuchet MS"/>
          <w:sz w:val="24"/>
          <w:szCs w:val="24"/>
        </w:rPr>
      </w:pPr>
    </w:p>
    <w:p w:rsidR="007A61CB" w:rsidRDefault="00E03B51"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 xml:space="preserve">Business Rates Retention remains uncertain for the short term and even more so in the long term.  The resetting of the Business Rates System will have a significant financial impact to authorities but particularly to those districts who have delivered significant growth.  The Fair Funding Review (now postponed) increases the financial uncertainty authorities face. </w:t>
      </w:r>
    </w:p>
    <w:p w:rsidR="00F119E1" w:rsidRPr="00F119E1" w:rsidRDefault="00F119E1" w:rsidP="00F119E1">
      <w:pPr>
        <w:pStyle w:val="ListParagraph"/>
        <w:rPr>
          <w:rFonts w:ascii="Trebuchet MS" w:hAnsi="Trebuchet MS"/>
          <w:sz w:val="24"/>
          <w:szCs w:val="24"/>
        </w:rPr>
      </w:pPr>
    </w:p>
    <w:p w:rsidR="00F119E1" w:rsidRDefault="00E03B51" w:rsidP="00F119E1">
      <w:pPr>
        <w:pStyle w:val="ListParagraph"/>
        <w:numPr>
          <w:ilvl w:val="0"/>
          <w:numId w:val="2"/>
        </w:numPr>
        <w:ind w:left="426" w:hanging="426"/>
        <w:rPr>
          <w:rFonts w:ascii="Trebuchet MS" w:hAnsi="Trebuchet MS"/>
          <w:sz w:val="24"/>
          <w:szCs w:val="24"/>
        </w:rPr>
      </w:pPr>
      <w:r w:rsidRPr="00F119E1">
        <w:rPr>
          <w:rFonts w:ascii="Trebuchet MS" w:hAnsi="Trebuchet MS"/>
          <w:sz w:val="24"/>
          <w:szCs w:val="24"/>
        </w:rPr>
        <w:t xml:space="preserve">Council tax referendum limits continue to restrict the ability to obtain extra income and many service income streams (e.g. planning) are restricted by centrally set fees or increases.  </w:t>
      </w:r>
    </w:p>
    <w:p w:rsidR="00F119E1" w:rsidRPr="00F119E1" w:rsidRDefault="00F119E1" w:rsidP="00F119E1">
      <w:pPr>
        <w:pStyle w:val="ListParagraph"/>
        <w:rPr>
          <w:rFonts w:ascii="Trebuchet MS" w:hAnsi="Trebuchet MS"/>
          <w:sz w:val="24"/>
          <w:szCs w:val="24"/>
        </w:rPr>
      </w:pPr>
    </w:p>
    <w:p w:rsidR="00474E42" w:rsidRPr="00F119E1" w:rsidRDefault="00E03B51" w:rsidP="00F119E1">
      <w:pPr>
        <w:pStyle w:val="ListParagraph"/>
        <w:numPr>
          <w:ilvl w:val="0"/>
          <w:numId w:val="2"/>
        </w:numPr>
        <w:ind w:left="426" w:hanging="426"/>
        <w:rPr>
          <w:rFonts w:ascii="Trebuchet MS" w:hAnsi="Trebuchet MS"/>
          <w:sz w:val="24"/>
          <w:szCs w:val="24"/>
        </w:rPr>
      </w:pPr>
      <w:r w:rsidRPr="00F119E1">
        <w:rPr>
          <w:rFonts w:ascii="Trebuchet MS" w:hAnsi="Trebuchet MS"/>
          <w:sz w:val="24"/>
          <w:szCs w:val="24"/>
        </w:rPr>
        <w:t xml:space="preserve">Many authorities have reviewed how their services are delivered and realigned services, however you can only reduce costs so far.  This has meant authorities have looked to other income streams which are a necessity if district councils are to continue to operate successfully and property investment is one area </w:t>
      </w:r>
      <w:r w:rsidRPr="00F119E1">
        <w:rPr>
          <w:rFonts w:ascii="Trebuchet MS" w:hAnsi="Trebuchet MS"/>
          <w:sz w:val="24"/>
          <w:szCs w:val="24"/>
        </w:rPr>
        <w:lastRenderedPageBreak/>
        <w:t xml:space="preserve">that many have gone into.  </w:t>
      </w:r>
      <w:r w:rsidR="00647363">
        <w:rPr>
          <w:rFonts w:ascii="Trebuchet MS" w:hAnsi="Trebuchet MS"/>
          <w:sz w:val="24"/>
          <w:szCs w:val="24"/>
        </w:rPr>
        <w:t>Local authorities</w:t>
      </w:r>
      <w:r w:rsidR="00474E42" w:rsidRPr="00F119E1">
        <w:rPr>
          <w:rFonts w:ascii="Trebuchet MS" w:hAnsi="Trebuchet MS"/>
          <w:sz w:val="24"/>
          <w:szCs w:val="24"/>
        </w:rPr>
        <w:t xml:space="preserve"> are committed to balancing income and financial risks in the delivery of vital services through income which is raised locally from fees and charges or from commercial property investments</w:t>
      </w:r>
      <w:r w:rsidR="00F119E1" w:rsidRPr="00F119E1">
        <w:rPr>
          <w:rFonts w:ascii="Trebuchet MS" w:hAnsi="Trebuchet MS"/>
          <w:sz w:val="24"/>
          <w:szCs w:val="24"/>
        </w:rPr>
        <w:t>.</w:t>
      </w:r>
      <w:r w:rsidR="00474E42" w:rsidRPr="00F119E1">
        <w:rPr>
          <w:rFonts w:ascii="Trebuchet MS" w:hAnsi="Trebuchet MS"/>
          <w:sz w:val="24"/>
          <w:szCs w:val="24"/>
        </w:rPr>
        <w:t xml:space="preserve"> </w:t>
      </w:r>
      <w:r w:rsidR="00F119E1" w:rsidRPr="00F119E1">
        <w:rPr>
          <w:rFonts w:ascii="Trebuchet MS" w:hAnsi="Trebuchet MS"/>
          <w:sz w:val="24"/>
          <w:szCs w:val="24"/>
        </w:rPr>
        <w:t xml:space="preserve"> I</w:t>
      </w:r>
      <w:r w:rsidR="00474E42" w:rsidRPr="00F119E1">
        <w:rPr>
          <w:rFonts w:ascii="Trebuchet MS" w:hAnsi="Trebuchet MS"/>
          <w:sz w:val="24"/>
          <w:szCs w:val="24"/>
        </w:rPr>
        <w:t xml:space="preserve">ncome continues to be a key element of a District Councils budget. </w:t>
      </w:r>
    </w:p>
    <w:p w:rsidR="0028321D" w:rsidRPr="00F119E1" w:rsidRDefault="0028321D" w:rsidP="00F119E1">
      <w:pPr>
        <w:pStyle w:val="ListParagraph"/>
        <w:ind w:left="426"/>
        <w:rPr>
          <w:rFonts w:ascii="Trebuchet MS" w:hAnsi="Trebuchet MS"/>
          <w:sz w:val="24"/>
          <w:szCs w:val="24"/>
        </w:rPr>
      </w:pPr>
    </w:p>
    <w:p w:rsidR="0028321D" w:rsidRPr="00605677" w:rsidRDefault="00E03B51" w:rsidP="0066758A">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 xml:space="preserve">Other options include doing nothing which inevitably leads to cutting services.  Such an approach is not sustainable in the long term and clearly reduces the level of </w:t>
      </w:r>
      <w:r w:rsidR="007A61CB" w:rsidRPr="00605677">
        <w:rPr>
          <w:rFonts w:ascii="Trebuchet MS" w:hAnsi="Trebuchet MS"/>
          <w:sz w:val="24"/>
          <w:szCs w:val="24"/>
        </w:rPr>
        <w:t xml:space="preserve">much needed </w:t>
      </w:r>
      <w:r w:rsidRPr="00605677">
        <w:rPr>
          <w:rFonts w:ascii="Trebuchet MS" w:hAnsi="Trebuchet MS"/>
          <w:sz w:val="24"/>
          <w:szCs w:val="24"/>
        </w:rPr>
        <w:t>services provided by the sector.</w:t>
      </w:r>
      <w:r w:rsidR="0028321D" w:rsidRPr="00605677">
        <w:rPr>
          <w:rFonts w:ascii="Trebuchet MS" w:hAnsi="Trebuchet MS"/>
          <w:sz w:val="24"/>
          <w:szCs w:val="24"/>
        </w:rPr>
        <w:t xml:space="preserve"> </w:t>
      </w:r>
      <w:r w:rsidRPr="00605677">
        <w:rPr>
          <w:rFonts w:ascii="Trebuchet MS" w:hAnsi="Trebuchet MS"/>
          <w:sz w:val="24"/>
          <w:szCs w:val="24"/>
        </w:rPr>
        <w:t xml:space="preserve"> </w:t>
      </w:r>
      <w:r w:rsidR="0028321D" w:rsidRPr="00605677">
        <w:rPr>
          <w:rFonts w:ascii="Trebuchet MS" w:hAnsi="Trebuchet MS"/>
          <w:sz w:val="24"/>
          <w:szCs w:val="24"/>
        </w:rPr>
        <w:t>Doing nothing as we approach the financial cliff edge is easy to do from a compliance perspective but s151 officers need to find solutions to divert away from the cliff edge</w:t>
      </w:r>
    </w:p>
    <w:p w:rsidR="0028321D" w:rsidRPr="00605677" w:rsidRDefault="0028321D" w:rsidP="0028321D">
      <w:pPr>
        <w:pStyle w:val="ListParagraph"/>
        <w:rPr>
          <w:rFonts w:ascii="Trebuchet MS" w:hAnsi="Trebuchet MS"/>
          <w:sz w:val="24"/>
          <w:szCs w:val="24"/>
        </w:rPr>
      </w:pPr>
    </w:p>
    <w:p w:rsidR="0028321D" w:rsidRPr="00605677" w:rsidRDefault="0028321D" w:rsidP="0028321D">
      <w:pPr>
        <w:rPr>
          <w:rFonts w:ascii="Trebuchet MS" w:hAnsi="Trebuchet MS"/>
          <w:b/>
          <w:bCs/>
          <w:sz w:val="24"/>
          <w:szCs w:val="24"/>
        </w:rPr>
      </w:pPr>
      <w:r w:rsidRPr="00605677">
        <w:rPr>
          <w:rFonts w:ascii="Trebuchet MS" w:hAnsi="Trebuchet MS"/>
          <w:b/>
          <w:bCs/>
          <w:sz w:val="24"/>
          <w:szCs w:val="24"/>
        </w:rPr>
        <w:t>Commercial Property Investment</w:t>
      </w:r>
    </w:p>
    <w:p w:rsidR="0028321D" w:rsidRPr="00605677" w:rsidRDefault="0028321D" w:rsidP="0028321D">
      <w:pPr>
        <w:pStyle w:val="ListParagraph"/>
        <w:ind w:left="426"/>
        <w:rPr>
          <w:rFonts w:ascii="Trebuchet MS" w:hAnsi="Trebuchet MS"/>
          <w:sz w:val="24"/>
          <w:szCs w:val="24"/>
        </w:rPr>
      </w:pPr>
    </w:p>
    <w:p w:rsidR="000A2302" w:rsidRPr="00F119E1" w:rsidRDefault="0028321D" w:rsidP="00F119E1">
      <w:pPr>
        <w:pStyle w:val="ListParagraph"/>
        <w:numPr>
          <w:ilvl w:val="0"/>
          <w:numId w:val="2"/>
        </w:numPr>
        <w:spacing w:line="256" w:lineRule="auto"/>
        <w:ind w:left="426" w:hanging="426"/>
        <w:rPr>
          <w:rFonts w:ascii="Trebuchet MS" w:hAnsi="Trebuchet MS"/>
          <w:sz w:val="24"/>
          <w:szCs w:val="24"/>
        </w:rPr>
      </w:pPr>
      <w:r w:rsidRPr="00F119E1">
        <w:rPr>
          <w:rFonts w:ascii="Trebuchet MS" w:hAnsi="Trebuchet MS"/>
          <w:sz w:val="24"/>
          <w:szCs w:val="24"/>
        </w:rPr>
        <w:t>It should be remembered that local authorities have invested in property for many years, this is not new to the Sector</w:t>
      </w:r>
      <w:r w:rsidR="000A2302" w:rsidRPr="00F119E1">
        <w:rPr>
          <w:rFonts w:ascii="Trebuchet MS" w:hAnsi="Trebuchet MS"/>
          <w:sz w:val="24"/>
          <w:szCs w:val="24"/>
        </w:rPr>
        <w:t xml:space="preserve"> and there are legal powers to do this</w:t>
      </w:r>
      <w:r w:rsidRPr="00F119E1">
        <w:rPr>
          <w:rFonts w:ascii="Trebuchet MS" w:hAnsi="Trebuchet MS"/>
          <w:sz w:val="24"/>
          <w:szCs w:val="24"/>
        </w:rPr>
        <w:t xml:space="preserve">. </w:t>
      </w:r>
      <w:r w:rsidR="000A2302" w:rsidRPr="00F119E1">
        <w:rPr>
          <w:rFonts w:ascii="Trebuchet MS" w:hAnsi="Trebuchet MS"/>
          <w:sz w:val="24"/>
          <w:szCs w:val="24"/>
        </w:rPr>
        <w:t xml:space="preserve">As an example, S120 of the Local Government Finance Act 1972 contains the following provision: </w:t>
      </w:r>
    </w:p>
    <w:p w:rsidR="000A2302" w:rsidRDefault="000A2302" w:rsidP="00F119E1">
      <w:pPr>
        <w:shd w:val="clear" w:color="auto" w:fill="FFFFFF"/>
        <w:spacing w:after="0" w:line="288" w:lineRule="atLeast"/>
        <w:ind w:left="426"/>
        <w:outlineLvl w:val="4"/>
        <w:rPr>
          <w:rFonts w:ascii="Trebuchet MS" w:eastAsia="Times New Roman" w:hAnsi="Trebuchet MS" w:cs="Arial"/>
          <w:sz w:val="24"/>
          <w:szCs w:val="24"/>
          <w:lang w:val="en" w:eastAsia="en-GB"/>
        </w:rPr>
      </w:pPr>
      <w:r>
        <w:rPr>
          <w:rFonts w:ascii="Trebuchet MS" w:eastAsia="Times New Roman" w:hAnsi="Trebuchet MS" w:cs="Arial"/>
          <w:sz w:val="24"/>
          <w:szCs w:val="24"/>
          <w:lang w:val="en" w:eastAsia="en-GB"/>
        </w:rPr>
        <w:t>Acquisition of land by agreement by principal councils.</w:t>
      </w:r>
      <w:r>
        <w:rPr>
          <w:rFonts w:ascii="Trebuchet MS" w:eastAsia="Times New Roman" w:hAnsi="Trebuchet MS" w:cs="Arial"/>
          <w:b/>
          <w:bCs/>
          <w:vanish/>
          <w:sz w:val="24"/>
          <w:szCs w:val="24"/>
          <w:shd w:val="clear" w:color="auto" w:fill="660066"/>
          <w:lang w:val="en" w:eastAsia="en-GB"/>
        </w:rPr>
        <w:t>E+W</w:t>
      </w:r>
    </w:p>
    <w:p w:rsidR="000A2302" w:rsidRDefault="000A2302" w:rsidP="00F119E1">
      <w:pPr>
        <w:shd w:val="clear" w:color="auto" w:fill="FFFFFF"/>
        <w:spacing w:after="120" w:line="360" w:lineRule="atLeast"/>
        <w:ind w:left="426"/>
        <w:rPr>
          <w:rFonts w:ascii="Trebuchet MS" w:eastAsia="Times New Roman" w:hAnsi="Trebuchet MS" w:cs="Arial"/>
          <w:sz w:val="24"/>
          <w:szCs w:val="24"/>
          <w:lang w:val="en" w:eastAsia="en-GB"/>
        </w:rPr>
      </w:pPr>
      <w:r>
        <w:rPr>
          <w:rFonts w:ascii="Trebuchet MS" w:eastAsia="Times New Roman" w:hAnsi="Trebuchet MS" w:cs="Arial"/>
          <w:sz w:val="24"/>
          <w:szCs w:val="24"/>
          <w:lang w:val="en" w:eastAsia="en-GB"/>
        </w:rPr>
        <w:t>(1) For the purposes of—</w:t>
      </w:r>
    </w:p>
    <w:p w:rsidR="000A2302" w:rsidRDefault="000A2302" w:rsidP="00F119E1">
      <w:pPr>
        <w:shd w:val="clear" w:color="auto" w:fill="FFFFFF"/>
        <w:spacing w:after="120" w:line="360" w:lineRule="atLeast"/>
        <w:ind w:left="426"/>
        <w:rPr>
          <w:rFonts w:ascii="Trebuchet MS" w:eastAsia="Times New Roman" w:hAnsi="Trebuchet MS" w:cs="Arial"/>
          <w:sz w:val="24"/>
          <w:szCs w:val="24"/>
          <w:lang w:val="en" w:eastAsia="en-GB"/>
        </w:rPr>
      </w:pPr>
      <w:r>
        <w:rPr>
          <w:rFonts w:ascii="Trebuchet MS" w:eastAsia="Times New Roman" w:hAnsi="Trebuchet MS" w:cs="Arial"/>
          <w:sz w:val="24"/>
          <w:szCs w:val="24"/>
          <w:lang w:val="en" w:eastAsia="en-GB"/>
        </w:rPr>
        <w:t>(a) any of their functions under this or any other enactment, or</w:t>
      </w:r>
    </w:p>
    <w:p w:rsidR="000A2302" w:rsidRDefault="000A2302" w:rsidP="00F119E1">
      <w:pPr>
        <w:shd w:val="clear" w:color="auto" w:fill="FFFFFF"/>
        <w:spacing w:after="120" w:line="360" w:lineRule="atLeast"/>
        <w:ind w:left="426"/>
        <w:rPr>
          <w:rFonts w:ascii="Trebuchet MS" w:eastAsia="Times New Roman" w:hAnsi="Trebuchet MS" w:cs="Arial"/>
          <w:sz w:val="24"/>
          <w:szCs w:val="24"/>
          <w:lang w:val="en" w:eastAsia="en-GB"/>
        </w:rPr>
      </w:pPr>
      <w:r>
        <w:rPr>
          <w:rFonts w:ascii="Trebuchet MS" w:eastAsia="Times New Roman" w:hAnsi="Trebuchet MS" w:cs="Arial"/>
          <w:sz w:val="24"/>
          <w:szCs w:val="24"/>
          <w:lang w:val="en" w:eastAsia="en-GB"/>
        </w:rPr>
        <w:t>(b) the benefit, improvement or development of their area,</w:t>
      </w:r>
    </w:p>
    <w:p w:rsidR="000A2302" w:rsidRDefault="000A2302" w:rsidP="00F119E1">
      <w:pPr>
        <w:shd w:val="clear" w:color="auto" w:fill="FFFFFF"/>
        <w:spacing w:after="120" w:line="360" w:lineRule="atLeast"/>
        <w:ind w:left="426"/>
        <w:jc w:val="both"/>
        <w:rPr>
          <w:rFonts w:ascii="Trebuchet MS" w:eastAsia="Times New Roman" w:hAnsi="Trebuchet MS" w:cs="Arial"/>
          <w:b/>
          <w:sz w:val="24"/>
          <w:szCs w:val="24"/>
          <w:lang w:val="en" w:eastAsia="en-GB"/>
        </w:rPr>
      </w:pPr>
      <w:r>
        <w:rPr>
          <w:rFonts w:ascii="Trebuchet MS" w:eastAsia="Times New Roman" w:hAnsi="Trebuchet MS" w:cs="Arial"/>
          <w:b/>
          <w:sz w:val="24"/>
          <w:szCs w:val="24"/>
          <w:lang w:val="en" w:eastAsia="en-GB"/>
        </w:rPr>
        <w:t>a principal council may acquire by agreement any land, whether situated inside or outside their area</w:t>
      </w:r>
      <w:r w:rsidR="00647363">
        <w:rPr>
          <w:rFonts w:ascii="Trebuchet MS" w:eastAsia="Times New Roman" w:hAnsi="Trebuchet MS" w:cs="Arial"/>
          <w:b/>
          <w:sz w:val="24"/>
          <w:szCs w:val="24"/>
          <w:lang w:val="en" w:eastAsia="en-GB"/>
        </w:rPr>
        <w:t>.</w:t>
      </w:r>
    </w:p>
    <w:p w:rsidR="00647363" w:rsidRDefault="00647363" w:rsidP="00F119E1">
      <w:pPr>
        <w:shd w:val="clear" w:color="auto" w:fill="FFFFFF"/>
        <w:spacing w:after="120" w:line="360" w:lineRule="atLeast"/>
        <w:ind w:left="426"/>
        <w:jc w:val="both"/>
        <w:rPr>
          <w:rFonts w:ascii="Trebuchet MS" w:eastAsia="Times New Roman" w:hAnsi="Trebuchet MS" w:cs="Arial"/>
          <w:b/>
          <w:sz w:val="24"/>
          <w:szCs w:val="24"/>
          <w:lang w:val="en" w:eastAsia="en-GB"/>
        </w:rPr>
      </w:pPr>
    </w:p>
    <w:p w:rsidR="0028321D" w:rsidRPr="00605677" w:rsidRDefault="0028321D"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 xml:space="preserve">However, there has clearly been an increase in property acquisitions for the reasons outlined above.  The continuation of reduced levels of funding from </w:t>
      </w:r>
      <w:r w:rsidR="00C07BCA" w:rsidRPr="00605677">
        <w:rPr>
          <w:rFonts w:ascii="Trebuchet MS" w:hAnsi="Trebuchet MS"/>
          <w:sz w:val="24"/>
          <w:szCs w:val="24"/>
        </w:rPr>
        <w:t>central</w:t>
      </w:r>
      <w:r w:rsidRPr="00605677">
        <w:rPr>
          <w:rFonts w:ascii="Trebuchet MS" w:hAnsi="Trebuchet MS"/>
          <w:sz w:val="24"/>
          <w:szCs w:val="24"/>
        </w:rPr>
        <w:t xml:space="preserve"> government has led to local authorities wanting to become more self-sufficient</w:t>
      </w:r>
      <w:r w:rsidR="00C07BCA" w:rsidRPr="00605677">
        <w:rPr>
          <w:rFonts w:ascii="Trebuchet MS" w:hAnsi="Trebuchet MS"/>
          <w:sz w:val="24"/>
          <w:szCs w:val="24"/>
        </w:rPr>
        <w:t>.</w:t>
      </w:r>
      <w:r w:rsidRPr="00605677">
        <w:rPr>
          <w:rFonts w:ascii="Trebuchet MS" w:hAnsi="Trebuchet MS"/>
          <w:sz w:val="24"/>
          <w:szCs w:val="24"/>
        </w:rPr>
        <w:t xml:space="preserve"> </w:t>
      </w:r>
      <w:r w:rsidR="00C07BCA" w:rsidRPr="00605677">
        <w:rPr>
          <w:rFonts w:ascii="Trebuchet MS" w:hAnsi="Trebuchet MS"/>
          <w:sz w:val="24"/>
          <w:szCs w:val="24"/>
        </w:rPr>
        <w:t xml:space="preserve"> C</w:t>
      </w:r>
      <w:r w:rsidRPr="00605677">
        <w:rPr>
          <w:rFonts w:ascii="Trebuchet MS" w:hAnsi="Trebuchet MS"/>
          <w:sz w:val="24"/>
          <w:szCs w:val="24"/>
        </w:rPr>
        <w:t xml:space="preserve">ommercial investments enable the risks to be managed at a local level rather than having to react to ongoing reductions in government funding. </w:t>
      </w:r>
    </w:p>
    <w:p w:rsidR="004A2B80" w:rsidRPr="00605677" w:rsidRDefault="004A2B80" w:rsidP="004A2B80">
      <w:pPr>
        <w:pStyle w:val="ListParagraph"/>
        <w:ind w:left="426"/>
        <w:rPr>
          <w:rFonts w:ascii="Trebuchet MS" w:hAnsi="Trebuchet MS"/>
          <w:sz w:val="24"/>
          <w:szCs w:val="24"/>
        </w:rPr>
      </w:pPr>
    </w:p>
    <w:p w:rsidR="004A2B80" w:rsidRPr="00605677" w:rsidRDefault="00C07BCA" w:rsidP="009900ED">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Property investments have been made by local authorities for economic regeneration purposes, financial return purposes or a combination of both depending on the circumstances each authority finds themselves in.</w:t>
      </w:r>
      <w:r w:rsidR="000A2302">
        <w:rPr>
          <w:rFonts w:ascii="Trebuchet MS" w:hAnsi="Trebuchet MS"/>
          <w:sz w:val="24"/>
          <w:szCs w:val="24"/>
        </w:rPr>
        <w:t xml:space="preserve"> As an example, </w:t>
      </w:r>
      <w:r w:rsidR="00F22082">
        <w:rPr>
          <w:rFonts w:ascii="Trebuchet MS" w:hAnsi="Trebuchet MS"/>
          <w:sz w:val="24"/>
          <w:szCs w:val="24"/>
        </w:rPr>
        <w:t xml:space="preserve">local authorities have purchased retail units in order to protect jobs in their areas or are holding them for future redevelopment as part of regeneration schemes. The NAO report does not provide this context or discuss any detailed rationale behind local authority property purchases. </w:t>
      </w:r>
    </w:p>
    <w:p w:rsidR="0028321D" w:rsidRPr="00605677" w:rsidRDefault="0028321D" w:rsidP="0028321D">
      <w:pPr>
        <w:pStyle w:val="ListParagraph"/>
        <w:ind w:left="426"/>
        <w:rPr>
          <w:rFonts w:ascii="Trebuchet MS" w:hAnsi="Trebuchet MS"/>
          <w:sz w:val="24"/>
          <w:szCs w:val="24"/>
        </w:rPr>
      </w:pPr>
    </w:p>
    <w:p w:rsidR="0028321D" w:rsidRPr="00605677" w:rsidRDefault="0028321D"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 xml:space="preserve">It is an authority’s responsibility and that of the s151 Officer to ensure the necessary due diligence has been undertaken prior to making a commercial </w:t>
      </w:r>
      <w:r w:rsidRPr="00605677">
        <w:rPr>
          <w:rFonts w:ascii="Trebuchet MS" w:hAnsi="Trebuchet MS"/>
          <w:sz w:val="24"/>
          <w:szCs w:val="24"/>
        </w:rPr>
        <w:lastRenderedPageBreak/>
        <w:t>investment.   </w:t>
      </w:r>
      <w:r w:rsidR="004A2B80" w:rsidRPr="00605677">
        <w:rPr>
          <w:rFonts w:ascii="Trebuchet MS" w:hAnsi="Trebuchet MS"/>
          <w:sz w:val="24"/>
          <w:szCs w:val="24"/>
        </w:rPr>
        <w:t xml:space="preserve">This may be internally or in the majority of cases, by using external expertise in a range of fields such as </w:t>
      </w:r>
      <w:r w:rsidR="00C07BCA" w:rsidRPr="00605677">
        <w:rPr>
          <w:rFonts w:ascii="Trebuchet MS" w:hAnsi="Trebuchet MS"/>
          <w:sz w:val="24"/>
          <w:szCs w:val="24"/>
        </w:rPr>
        <w:t>legal, property, tax, treasury etc.</w:t>
      </w:r>
      <w:r w:rsidR="00784295">
        <w:rPr>
          <w:rFonts w:ascii="Trebuchet MS" w:hAnsi="Trebuchet MS"/>
          <w:sz w:val="24"/>
          <w:szCs w:val="24"/>
        </w:rPr>
        <w:t xml:space="preserve"> S151 officers are also required to be qualified accountants with CPD requirements through their professional body. This ensures skills and knowledge are kept up to date and relevant.  </w:t>
      </w:r>
    </w:p>
    <w:p w:rsidR="00EE238A" w:rsidRPr="00605677" w:rsidRDefault="00EE238A" w:rsidP="00EE238A">
      <w:pPr>
        <w:pStyle w:val="ListParagraph"/>
        <w:rPr>
          <w:rFonts w:ascii="Trebuchet MS" w:hAnsi="Trebuchet MS"/>
          <w:sz w:val="24"/>
          <w:szCs w:val="24"/>
        </w:rPr>
      </w:pPr>
    </w:p>
    <w:p w:rsidR="00EE238A" w:rsidRPr="00605677" w:rsidRDefault="00EE238A"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 xml:space="preserve">Local authorities have clear governance structures in place that include Member approvals where significant expenditure or projects will go through a thorough Member process.  Members’ have a wide range of experience which should be used when scrutinising these types of decisions. </w:t>
      </w:r>
    </w:p>
    <w:p w:rsidR="00C07BCA" w:rsidRPr="00605677" w:rsidRDefault="00C07BCA" w:rsidP="00C07BCA">
      <w:pPr>
        <w:pStyle w:val="ListParagraph"/>
        <w:rPr>
          <w:rFonts w:ascii="Trebuchet MS" w:hAnsi="Trebuchet MS"/>
          <w:sz w:val="24"/>
          <w:szCs w:val="24"/>
        </w:rPr>
      </w:pPr>
    </w:p>
    <w:p w:rsidR="00C07BCA" w:rsidRPr="00605677" w:rsidRDefault="00C07BCA"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One benefit of the ‘local government family’ is that it is not a competitive environment and therefore local authorities are much more open to sharing best practice and experience.  Bodies such as SDCT act as a conduit to enable this to happen more freely.</w:t>
      </w:r>
    </w:p>
    <w:p w:rsidR="0028321D" w:rsidRPr="00605677" w:rsidRDefault="0028321D" w:rsidP="0028321D">
      <w:pPr>
        <w:pStyle w:val="ListParagraph"/>
        <w:rPr>
          <w:rFonts w:ascii="Trebuchet MS" w:hAnsi="Trebuchet MS"/>
          <w:sz w:val="24"/>
          <w:szCs w:val="24"/>
        </w:rPr>
      </w:pPr>
    </w:p>
    <w:p w:rsidR="00EA64A1" w:rsidRPr="00605677" w:rsidRDefault="00C07BCA"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 xml:space="preserve">It is important to spread risk in any investment portfolio and property should be no different.  Risk can be spread in a property portfolio in a number of ways such as location, </w:t>
      </w:r>
      <w:r w:rsidR="00EA64A1" w:rsidRPr="00605677">
        <w:rPr>
          <w:rFonts w:ascii="Trebuchet MS" w:hAnsi="Trebuchet MS"/>
          <w:sz w:val="24"/>
          <w:szCs w:val="24"/>
        </w:rPr>
        <w:t>asset category (industrial, office, retail, residential, etc), freehold or leasehold, single or multi-tenanted</w:t>
      </w:r>
      <w:r w:rsidR="000246DB" w:rsidRPr="00605677">
        <w:rPr>
          <w:rFonts w:ascii="Trebuchet MS" w:hAnsi="Trebuchet MS"/>
          <w:sz w:val="24"/>
          <w:szCs w:val="24"/>
        </w:rPr>
        <w:t xml:space="preserve"> etc</w:t>
      </w:r>
      <w:r w:rsidR="00EA64A1" w:rsidRPr="00605677">
        <w:rPr>
          <w:rFonts w:ascii="Trebuchet MS" w:hAnsi="Trebuchet MS"/>
          <w:sz w:val="24"/>
          <w:szCs w:val="24"/>
        </w:rPr>
        <w:t>.</w:t>
      </w:r>
    </w:p>
    <w:p w:rsidR="00EA64A1" w:rsidRPr="00605677" w:rsidRDefault="00EA64A1" w:rsidP="00EA64A1">
      <w:pPr>
        <w:pStyle w:val="ListParagraph"/>
        <w:rPr>
          <w:rFonts w:ascii="Trebuchet MS" w:hAnsi="Trebuchet MS"/>
          <w:sz w:val="24"/>
          <w:szCs w:val="24"/>
        </w:rPr>
      </w:pPr>
    </w:p>
    <w:p w:rsidR="0028321D" w:rsidRDefault="00EA64A1"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 xml:space="preserve"> It should therefore not be surprising</w:t>
      </w:r>
      <w:r w:rsidR="009E25A7" w:rsidRPr="00605677">
        <w:rPr>
          <w:rFonts w:ascii="Trebuchet MS" w:hAnsi="Trebuchet MS"/>
          <w:sz w:val="24"/>
          <w:szCs w:val="24"/>
        </w:rPr>
        <w:t>,</w:t>
      </w:r>
      <w:r w:rsidRPr="00605677">
        <w:rPr>
          <w:rFonts w:ascii="Trebuchet MS" w:hAnsi="Trebuchet MS"/>
          <w:sz w:val="24"/>
          <w:szCs w:val="24"/>
        </w:rPr>
        <w:t xml:space="preserve"> or seen as a bad thing</w:t>
      </w:r>
      <w:r w:rsidR="009E25A7" w:rsidRPr="00605677">
        <w:rPr>
          <w:rFonts w:ascii="Trebuchet MS" w:hAnsi="Trebuchet MS"/>
          <w:sz w:val="24"/>
          <w:szCs w:val="24"/>
        </w:rPr>
        <w:t>,</w:t>
      </w:r>
      <w:r w:rsidRPr="00605677">
        <w:rPr>
          <w:rFonts w:ascii="Trebuchet MS" w:hAnsi="Trebuchet MS"/>
          <w:sz w:val="24"/>
          <w:szCs w:val="24"/>
        </w:rPr>
        <w:t xml:space="preserve"> when property investments are made outside of a local authority or LEP area as local authorities are spreading the</w:t>
      </w:r>
      <w:r w:rsidR="009E25A7" w:rsidRPr="00605677">
        <w:rPr>
          <w:rFonts w:ascii="Trebuchet MS" w:hAnsi="Trebuchet MS"/>
          <w:sz w:val="24"/>
          <w:szCs w:val="24"/>
        </w:rPr>
        <w:t>ir</w:t>
      </w:r>
      <w:r w:rsidRPr="00605677">
        <w:rPr>
          <w:rFonts w:ascii="Trebuchet MS" w:hAnsi="Trebuchet MS"/>
          <w:sz w:val="24"/>
          <w:szCs w:val="24"/>
        </w:rPr>
        <w:t xml:space="preserve"> risk.  It should also be appreciated that the same opportunities do not arise in every local authority area up and down the country.</w:t>
      </w:r>
    </w:p>
    <w:p w:rsidR="00647363" w:rsidRPr="00647363" w:rsidRDefault="00647363" w:rsidP="00647363">
      <w:pPr>
        <w:pStyle w:val="ListParagraph"/>
        <w:rPr>
          <w:rFonts w:ascii="Trebuchet MS" w:hAnsi="Trebuchet MS"/>
          <w:sz w:val="24"/>
          <w:szCs w:val="24"/>
        </w:rPr>
      </w:pPr>
    </w:p>
    <w:p w:rsidR="00647363" w:rsidRDefault="00647363" w:rsidP="00647363">
      <w:pPr>
        <w:pStyle w:val="ListParagraph"/>
        <w:numPr>
          <w:ilvl w:val="0"/>
          <w:numId w:val="2"/>
        </w:numPr>
        <w:ind w:left="426" w:hanging="426"/>
        <w:rPr>
          <w:rFonts w:ascii="Trebuchet MS" w:hAnsi="Trebuchet MS"/>
          <w:sz w:val="24"/>
          <w:szCs w:val="24"/>
        </w:rPr>
      </w:pPr>
      <w:r w:rsidRPr="00647363">
        <w:rPr>
          <w:rFonts w:ascii="Trebuchet MS" w:hAnsi="Trebuchet MS"/>
          <w:sz w:val="24"/>
          <w:szCs w:val="24"/>
        </w:rPr>
        <w:t>Local authorities</w:t>
      </w:r>
      <w:r w:rsidR="00F119E1" w:rsidRPr="00647363">
        <w:rPr>
          <w:rFonts w:ascii="Trebuchet MS" w:hAnsi="Trebuchet MS"/>
          <w:sz w:val="24"/>
          <w:szCs w:val="24"/>
        </w:rPr>
        <w:t xml:space="preserve"> by their nature are political organisations and investing “locally” brings emotive issues into the frame rather than pure a commercial mind set.  By investing out of area it means councils can make commercial decisions based on hard facts rather than political demands.</w:t>
      </w:r>
    </w:p>
    <w:p w:rsidR="00647363" w:rsidRPr="00647363" w:rsidRDefault="00647363" w:rsidP="00647363">
      <w:pPr>
        <w:pStyle w:val="ListParagraph"/>
        <w:rPr>
          <w:rFonts w:ascii="Trebuchet MS" w:hAnsi="Trebuchet MS"/>
          <w:sz w:val="24"/>
          <w:szCs w:val="24"/>
        </w:rPr>
      </w:pPr>
    </w:p>
    <w:p w:rsidR="00474E42" w:rsidRPr="00647363" w:rsidRDefault="00474E42" w:rsidP="00647363">
      <w:pPr>
        <w:pStyle w:val="ListParagraph"/>
        <w:numPr>
          <w:ilvl w:val="0"/>
          <w:numId w:val="2"/>
        </w:numPr>
        <w:ind w:left="426" w:hanging="426"/>
        <w:rPr>
          <w:rFonts w:ascii="Trebuchet MS" w:hAnsi="Trebuchet MS"/>
          <w:sz w:val="24"/>
          <w:szCs w:val="24"/>
        </w:rPr>
      </w:pPr>
      <w:r w:rsidRPr="00647363">
        <w:rPr>
          <w:rFonts w:ascii="Trebuchet MS" w:hAnsi="Trebuchet MS"/>
          <w:sz w:val="24"/>
          <w:szCs w:val="24"/>
        </w:rPr>
        <w:t>The investment into commercial property by local authorities can also strengthen the Public Sector Balance Sheet and it is this point that is often overlooked. Where those investments are generating a positive return</w:t>
      </w:r>
      <w:r w:rsidR="00647363" w:rsidRPr="00647363">
        <w:rPr>
          <w:rFonts w:ascii="Trebuchet MS" w:hAnsi="Trebuchet MS"/>
          <w:sz w:val="24"/>
          <w:szCs w:val="24"/>
        </w:rPr>
        <w:t>,</w:t>
      </w:r>
      <w:r w:rsidRPr="00647363">
        <w:rPr>
          <w:rFonts w:ascii="Trebuchet MS" w:hAnsi="Trebuchet MS"/>
          <w:sz w:val="24"/>
          <w:szCs w:val="24"/>
        </w:rPr>
        <w:t xml:space="preserve"> this supports the revenue budget and had been fundamental in maintaining services. Where loans are repaid this reduces the liability, the investment is shown as an asset on the balance sheet and is one that generally appreciates in value and it is these two factors that increase the strength of the local </w:t>
      </w:r>
      <w:r w:rsidR="00634429" w:rsidRPr="00647363">
        <w:rPr>
          <w:rFonts w:ascii="Trebuchet MS" w:hAnsi="Trebuchet MS"/>
          <w:sz w:val="24"/>
          <w:szCs w:val="24"/>
        </w:rPr>
        <w:t>authority’s</w:t>
      </w:r>
      <w:r w:rsidRPr="00647363">
        <w:rPr>
          <w:rFonts w:ascii="Trebuchet MS" w:hAnsi="Trebuchet MS"/>
          <w:sz w:val="24"/>
          <w:szCs w:val="24"/>
        </w:rPr>
        <w:t xml:space="preserve"> balance sheet.</w:t>
      </w:r>
    </w:p>
    <w:p w:rsidR="00FD3E60" w:rsidRPr="00605677" w:rsidRDefault="00FD3E60" w:rsidP="00FD3E60">
      <w:pPr>
        <w:pStyle w:val="ListParagraph"/>
        <w:rPr>
          <w:rFonts w:ascii="Trebuchet MS" w:hAnsi="Trebuchet MS"/>
          <w:sz w:val="24"/>
          <w:szCs w:val="24"/>
        </w:rPr>
      </w:pPr>
    </w:p>
    <w:p w:rsidR="00FD3E60" w:rsidRPr="00605677" w:rsidRDefault="00FD3E60" w:rsidP="00FD3E60">
      <w:pPr>
        <w:rPr>
          <w:rFonts w:ascii="Trebuchet MS" w:hAnsi="Trebuchet MS"/>
          <w:b/>
          <w:bCs/>
          <w:sz w:val="24"/>
          <w:szCs w:val="24"/>
        </w:rPr>
      </w:pPr>
      <w:r w:rsidRPr="00605677">
        <w:rPr>
          <w:rFonts w:ascii="Trebuchet MS" w:hAnsi="Trebuchet MS"/>
          <w:b/>
          <w:bCs/>
          <w:sz w:val="24"/>
          <w:szCs w:val="24"/>
        </w:rPr>
        <w:t>Impact the COVID-19 pandemic has had on local authority finances</w:t>
      </w:r>
    </w:p>
    <w:p w:rsidR="00FD3E60" w:rsidRPr="00605677" w:rsidRDefault="00FD3E60"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The financial returns local authorities have made to MHCLG should highlight the known and potential financial impacts.</w:t>
      </w:r>
    </w:p>
    <w:p w:rsidR="00FD3E60" w:rsidRPr="00605677" w:rsidRDefault="00FD3E60" w:rsidP="00FD3E60">
      <w:pPr>
        <w:pStyle w:val="ListParagraph"/>
        <w:ind w:left="426"/>
        <w:rPr>
          <w:rFonts w:ascii="Trebuchet MS" w:hAnsi="Trebuchet MS"/>
          <w:sz w:val="24"/>
          <w:szCs w:val="24"/>
        </w:rPr>
      </w:pPr>
    </w:p>
    <w:p w:rsidR="00FD3E60" w:rsidRPr="00605677" w:rsidRDefault="00FD3E60"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lastRenderedPageBreak/>
        <w:t xml:space="preserve">The financial impacts cover the following areas: </w:t>
      </w:r>
    </w:p>
    <w:p w:rsidR="00FD3E60" w:rsidRPr="00605677" w:rsidRDefault="00FD3E60" w:rsidP="00FD3E60">
      <w:pPr>
        <w:pStyle w:val="ListParagraph"/>
        <w:numPr>
          <w:ilvl w:val="1"/>
          <w:numId w:val="2"/>
        </w:numPr>
        <w:rPr>
          <w:rFonts w:ascii="Trebuchet MS" w:hAnsi="Trebuchet MS"/>
          <w:sz w:val="24"/>
          <w:szCs w:val="24"/>
        </w:rPr>
      </w:pPr>
      <w:r w:rsidRPr="00605677">
        <w:rPr>
          <w:rFonts w:ascii="Trebuchet MS" w:hAnsi="Trebuchet MS"/>
          <w:sz w:val="24"/>
          <w:szCs w:val="24"/>
        </w:rPr>
        <w:t>additional expenditure to provide much needed additional services (such as food distribution hubs</w:t>
      </w:r>
      <w:r w:rsidR="00784295">
        <w:rPr>
          <w:rFonts w:ascii="Trebuchet MS" w:hAnsi="Trebuchet MS"/>
          <w:sz w:val="24"/>
          <w:szCs w:val="24"/>
        </w:rPr>
        <w:t xml:space="preserve"> and increased homelessness demand</w:t>
      </w:r>
      <w:r w:rsidRPr="00605677">
        <w:rPr>
          <w:rFonts w:ascii="Trebuchet MS" w:hAnsi="Trebuchet MS"/>
          <w:sz w:val="24"/>
          <w:szCs w:val="24"/>
        </w:rPr>
        <w:t>) to residents and support to businesses.</w:t>
      </w:r>
    </w:p>
    <w:p w:rsidR="00FD3E60" w:rsidRPr="00605677" w:rsidRDefault="00FD3E60" w:rsidP="00FD3E60">
      <w:pPr>
        <w:pStyle w:val="ListParagraph"/>
        <w:numPr>
          <w:ilvl w:val="1"/>
          <w:numId w:val="2"/>
        </w:numPr>
        <w:rPr>
          <w:rFonts w:ascii="Trebuchet MS" w:hAnsi="Trebuchet MS"/>
          <w:sz w:val="24"/>
          <w:szCs w:val="24"/>
        </w:rPr>
      </w:pPr>
      <w:r w:rsidRPr="00605677">
        <w:rPr>
          <w:rFonts w:ascii="Trebuchet MS" w:hAnsi="Trebuchet MS"/>
          <w:sz w:val="24"/>
          <w:szCs w:val="24"/>
        </w:rPr>
        <w:t>Reduced income from services such as car parking, planning etc.</w:t>
      </w:r>
    </w:p>
    <w:p w:rsidR="00784295" w:rsidRPr="00F119E1" w:rsidRDefault="00FD3E60" w:rsidP="00784295">
      <w:pPr>
        <w:pStyle w:val="ListParagraph"/>
        <w:numPr>
          <w:ilvl w:val="1"/>
          <w:numId w:val="2"/>
        </w:numPr>
        <w:rPr>
          <w:rFonts w:ascii="Trebuchet MS" w:hAnsi="Trebuchet MS"/>
          <w:sz w:val="24"/>
          <w:szCs w:val="24"/>
        </w:rPr>
      </w:pPr>
      <w:r w:rsidRPr="00605677">
        <w:rPr>
          <w:rFonts w:ascii="Trebuchet MS" w:hAnsi="Trebuchet MS"/>
          <w:sz w:val="24"/>
          <w:szCs w:val="24"/>
        </w:rPr>
        <w:t>Reduced collection rates of Council Tax and Business Rates due to the impact of COVID-19 on residents and businesses</w:t>
      </w:r>
      <w:r w:rsidR="00784295">
        <w:rPr>
          <w:rFonts w:ascii="Trebuchet MS" w:hAnsi="Trebuchet MS"/>
          <w:sz w:val="24"/>
          <w:szCs w:val="24"/>
        </w:rPr>
        <w:t xml:space="preserve"> leading to cashflow issues and income losses in both the current financial year and 2021/22. </w:t>
      </w:r>
    </w:p>
    <w:p w:rsidR="00FD3E60" w:rsidRPr="00605677" w:rsidRDefault="00FD3E60" w:rsidP="00FD3E60">
      <w:pPr>
        <w:pStyle w:val="ListParagraph"/>
        <w:rPr>
          <w:rFonts w:ascii="Trebuchet MS" w:hAnsi="Trebuchet MS"/>
          <w:sz w:val="24"/>
          <w:szCs w:val="24"/>
        </w:rPr>
      </w:pPr>
    </w:p>
    <w:p w:rsidR="00FD3E60" w:rsidRPr="00605677" w:rsidRDefault="00FD3E60" w:rsidP="00E03B51">
      <w:pPr>
        <w:pStyle w:val="ListParagraph"/>
        <w:numPr>
          <w:ilvl w:val="0"/>
          <w:numId w:val="2"/>
        </w:numPr>
        <w:ind w:left="426" w:hanging="426"/>
        <w:rPr>
          <w:rFonts w:ascii="Trebuchet MS" w:hAnsi="Trebuchet MS"/>
          <w:sz w:val="24"/>
          <w:szCs w:val="24"/>
        </w:rPr>
      </w:pPr>
      <w:r w:rsidRPr="00605677">
        <w:rPr>
          <w:rFonts w:ascii="Trebuchet MS" w:hAnsi="Trebuchet MS"/>
          <w:sz w:val="24"/>
          <w:szCs w:val="24"/>
        </w:rPr>
        <w:t xml:space="preserve">The funding provided by MHCLG to date will help to address some of these issues but is likely to be well short of the final cost that local authorities will face.  Without further funding, the financial position of local authorities will worsen which will inevitably have an adverse impact on the services provided which have proved to be vital in these challenging times. </w:t>
      </w:r>
    </w:p>
    <w:p w:rsidR="0028321D" w:rsidRPr="00605677" w:rsidRDefault="0028321D" w:rsidP="0028321D">
      <w:pPr>
        <w:pStyle w:val="ListParagraph"/>
        <w:rPr>
          <w:rFonts w:ascii="Trebuchet MS" w:hAnsi="Trebuchet MS"/>
          <w:sz w:val="24"/>
          <w:szCs w:val="24"/>
        </w:rPr>
      </w:pPr>
    </w:p>
    <w:p w:rsidR="000E399F" w:rsidRPr="00605677" w:rsidRDefault="000E399F" w:rsidP="000E399F">
      <w:pPr>
        <w:rPr>
          <w:rFonts w:ascii="Trebuchet MS" w:hAnsi="Trebuchet MS"/>
          <w:b/>
          <w:bCs/>
          <w:sz w:val="24"/>
          <w:szCs w:val="24"/>
        </w:rPr>
      </w:pPr>
      <w:r w:rsidRPr="00605677">
        <w:rPr>
          <w:rFonts w:ascii="Trebuchet MS" w:hAnsi="Trebuchet MS"/>
          <w:b/>
          <w:bCs/>
          <w:sz w:val="24"/>
          <w:szCs w:val="24"/>
        </w:rPr>
        <w:t xml:space="preserve">Conclusion </w:t>
      </w:r>
    </w:p>
    <w:p w:rsidR="000E399F" w:rsidRPr="00605677" w:rsidRDefault="000E399F" w:rsidP="000E399F">
      <w:pPr>
        <w:pStyle w:val="ListParagraph"/>
        <w:rPr>
          <w:rFonts w:ascii="Trebuchet MS" w:hAnsi="Trebuchet MS"/>
          <w:sz w:val="24"/>
          <w:szCs w:val="24"/>
        </w:rPr>
      </w:pPr>
    </w:p>
    <w:p w:rsidR="000E399F" w:rsidRPr="00224A24" w:rsidRDefault="000E399F" w:rsidP="00224A24">
      <w:pPr>
        <w:pStyle w:val="ListParagraph"/>
        <w:numPr>
          <w:ilvl w:val="0"/>
          <w:numId w:val="2"/>
        </w:numPr>
        <w:ind w:left="426" w:hanging="426"/>
        <w:rPr>
          <w:rFonts w:ascii="Trebuchet MS" w:hAnsi="Trebuchet MS"/>
          <w:sz w:val="24"/>
          <w:szCs w:val="24"/>
        </w:rPr>
      </w:pPr>
      <w:r w:rsidRPr="00224A24">
        <w:rPr>
          <w:rFonts w:ascii="Trebuchet MS" w:hAnsi="Trebuchet MS"/>
          <w:sz w:val="24"/>
          <w:szCs w:val="24"/>
        </w:rPr>
        <w:t>I hope that this response has provided a clear description of why local authorities</w:t>
      </w:r>
      <w:r w:rsidR="00285BEB" w:rsidRPr="00224A24">
        <w:rPr>
          <w:rFonts w:ascii="Trebuchet MS" w:hAnsi="Trebuchet MS"/>
          <w:sz w:val="24"/>
          <w:szCs w:val="24"/>
        </w:rPr>
        <w:t xml:space="preserve"> (especially district councils)</w:t>
      </w:r>
      <w:r w:rsidRPr="00224A24">
        <w:rPr>
          <w:rFonts w:ascii="Trebuchet MS" w:hAnsi="Trebuchet MS"/>
          <w:sz w:val="24"/>
          <w:szCs w:val="24"/>
        </w:rPr>
        <w:t xml:space="preserve"> have increased commercial property investment and the approach they are taking to address the risks involved</w:t>
      </w:r>
      <w:r w:rsidR="00EE238A" w:rsidRPr="00224A24">
        <w:rPr>
          <w:rFonts w:ascii="Trebuchet MS" w:hAnsi="Trebuchet MS"/>
          <w:sz w:val="24"/>
          <w:szCs w:val="24"/>
        </w:rPr>
        <w:t xml:space="preserve"> to ensure that decisions are taken after suitable due diligence has been carried out.</w:t>
      </w:r>
      <w:r w:rsidR="00474E42" w:rsidRPr="00224A24">
        <w:rPr>
          <w:rFonts w:ascii="Trebuchet MS" w:hAnsi="Trebuchet MS"/>
          <w:sz w:val="24"/>
          <w:szCs w:val="24"/>
        </w:rPr>
        <w:t xml:space="preserve"> The SDCT believes that Districts have responded positively to the ongoing reductions in government funding and have taken a measured approach to income generation through commercial investments and this has enabled services to be maintained. The Districts have responded well in supporting their communities in these unprecedented times and this has been well evidenced in recent weeks, this in part results from Districts maintaining services and capacity and this has been achieved through being able to generate income locally.</w:t>
      </w:r>
    </w:p>
    <w:p w:rsidR="00285BEB" w:rsidRPr="00224A24" w:rsidRDefault="00285BEB" w:rsidP="00285BEB">
      <w:pPr>
        <w:pStyle w:val="ListParagraph"/>
        <w:ind w:left="426"/>
        <w:rPr>
          <w:rFonts w:ascii="Trebuchet MS" w:hAnsi="Trebuchet MS"/>
          <w:sz w:val="24"/>
          <w:szCs w:val="24"/>
        </w:rPr>
      </w:pPr>
    </w:p>
    <w:p w:rsidR="00E03B51" w:rsidRPr="00605677" w:rsidRDefault="00EE238A" w:rsidP="00605677">
      <w:pPr>
        <w:pStyle w:val="ListParagraph"/>
        <w:numPr>
          <w:ilvl w:val="0"/>
          <w:numId w:val="2"/>
        </w:numPr>
        <w:ind w:left="426" w:hanging="426"/>
        <w:rPr>
          <w:rFonts w:ascii="Trebuchet MS" w:hAnsi="Trebuchet MS"/>
          <w:b/>
          <w:bCs/>
          <w:sz w:val="24"/>
          <w:szCs w:val="24"/>
        </w:rPr>
      </w:pPr>
      <w:r w:rsidRPr="00605677">
        <w:rPr>
          <w:rFonts w:ascii="Trebuchet MS" w:hAnsi="Trebuchet MS"/>
          <w:sz w:val="24"/>
          <w:szCs w:val="24"/>
        </w:rPr>
        <w:t>The last paragraph in the Inquiry remit states “</w:t>
      </w:r>
      <w:r w:rsidRPr="00605677">
        <w:rPr>
          <w:rFonts w:ascii="Trebuchet MS" w:eastAsia="Times New Roman" w:hAnsi="Trebuchet MS" w:cs="Segoe UI"/>
          <w:sz w:val="24"/>
          <w:szCs w:val="24"/>
          <w:lang w:val="en" w:eastAsia="en-GB"/>
        </w:rPr>
        <w:t xml:space="preserve">The NAO’s February 2020 report on ‘Local authority commercial investment’ assesses whether MHCLG has effective oversight of the risks to the financial sustainability of local authorities due to their investments in commercial property.” </w:t>
      </w:r>
      <w:r w:rsidRPr="00605677">
        <w:rPr>
          <w:rFonts w:ascii="Trebuchet MS" w:eastAsia="Times New Roman" w:hAnsi="Trebuchet MS" w:cs="Segoe UI"/>
          <w:b/>
          <w:bCs/>
          <w:sz w:val="24"/>
          <w:szCs w:val="24"/>
          <w:lang w:val="en" w:eastAsia="en-GB"/>
        </w:rPr>
        <w:t xml:space="preserve">It should not be forgotten that there are great risks to the financial sustainability of local authorities if they do not obtain </w:t>
      </w:r>
      <w:r w:rsidR="00285BEB" w:rsidRPr="00605677">
        <w:rPr>
          <w:rFonts w:ascii="Trebuchet MS" w:eastAsia="Times New Roman" w:hAnsi="Trebuchet MS" w:cs="Segoe UI"/>
          <w:b/>
          <w:bCs/>
          <w:sz w:val="24"/>
          <w:szCs w:val="24"/>
          <w:lang w:val="en" w:eastAsia="en-GB"/>
        </w:rPr>
        <w:t>additional income from routes such as investing in commercial property.</w:t>
      </w:r>
    </w:p>
    <w:sectPr w:rsidR="00E03B51" w:rsidRPr="00605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ational">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64C35"/>
    <w:multiLevelType w:val="hybridMultilevel"/>
    <w:tmpl w:val="FE046222"/>
    <w:lvl w:ilvl="0" w:tplc="49E4132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9D71CD"/>
    <w:multiLevelType w:val="hybridMultilevel"/>
    <w:tmpl w:val="0AD4E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83"/>
    <w:rsid w:val="000246DB"/>
    <w:rsid w:val="000A2302"/>
    <w:rsid w:val="000E399F"/>
    <w:rsid w:val="001B4E28"/>
    <w:rsid w:val="00224A24"/>
    <w:rsid w:val="00232685"/>
    <w:rsid w:val="0028321D"/>
    <w:rsid w:val="00285BEB"/>
    <w:rsid w:val="00474E42"/>
    <w:rsid w:val="00494095"/>
    <w:rsid w:val="004A2B80"/>
    <w:rsid w:val="00563230"/>
    <w:rsid w:val="005B7769"/>
    <w:rsid w:val="00605677"/>
    <w:rsid w:val="00634429"/>
    <w:rsid w:val="00647363"/>
    <w:rsid w:val="00654DCA"/>
    <w:rsid w:val="00667DC9"/>
    <w:rsid w:val="006828AC"/>
    <w:rsid w:val="00784295"/>
    <w:rsid w:val="007A61CB"/>
    <w:rsid w:val="009E25A7"/>
    <w:rsid w:val="00A01231"/>
    <w:rsid w:val="00BA644D"/>
    <w:rsid w:val="00C07BCA"/>
    <w:rsid w:val="00C34B81"/>
    <w:rsid w:val="00DA68C7"/>
    <w:rsid w:val="00DE5283"/>
    <w:rsid w:val="00E03B51"/>
    <w:rsid w:val="00EA0DDE"/>
    <w:rsid w:val="00EA64A1"/>
    <w:rsid w:val="00EE238A"/>
    <w:rsid w:val="00EE7F1C"/>
    <w:rsid w:val="00F119E1"/>
    <w:rsid w:val="00F22082"/>
    <w:rsid w:val="00F652F1"/>
    <w:rsid w:val="00FD3E60"/>
    <w:rsid w:val="00FD5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E01F"/>
  <w15:chartTrackingRefBased/>
  <w15:docId w15:val="{308188AA-A4AA-4649-928A-F8E8F135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44D"/>
    <w:pPr>
      <w:ind w:left="720"/>
      <w:contextualSpacing/>
    </w:pPr>
  </w:style>
  <w:style w:type="paragraph" w:styleId="BalloonText">
    <w:name w:val="Balloon Text"/>
    <w:basedOn w:val="Normal"/>
    <w:link w:val="BalloonTextChar"/>
    <w:uiPriority w:val="99"/>
    <w:semiHidden/>
    <w:unhideWhenUsed/>
    <w:rsid w:val="000A2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5742">
      <w:bodyDiv w:val="1"/>
      <w:marLeft w:val="0"/>
      <w:marRight w:val="0"/>
      <w:marTop w:val="0"/>
      <w:marBottom w:val="0"/>
      <w:divBdr>
        <w:top w:val="none" w:sz="0" w:space="0" w:color="auto"/>
        <w:left w:val="none" w:sz="0" w:space="0" w:color="auto"/>
        <w:bottom w:val="none" w:sz="0" w:space="0" w:color="auto"/>
        <w:right w:val="none" w:sz="0" w:space="0" w:color="auto"/>
      </w:divBdr>
    </w:div>
    <w:div w:id="437650547">
      <w:bodyDiv w:val="1"/>
      <w:marLeft w:val="0"/>
      <w:marRight w:val="0"/>
      <w:marTop w:val="0"/>
      <w:marBottom w:val="0"/>
      <w:divBdr>
        <w:top w:val="none" w:sz="0" w:space="0" w:color="auto"/>
        <w:left w:val="none" w:sz="0" w:space="0" w:color="auto"/>
        <w:bottom w:val="none" w:sz="0" w:space="0" w:color="auto"/>
        <w:right w:val="none" w:sz="0" w:space="0" w:color="auto"/>
      </w:divBdr>
    </w:div>
    <w:div w:id="963191465">
      <w:bodyDiv w:val="1"/>
      <w:marLeft w:val="0"/>
      <w:marRight w:val="0"/>
      <w:marTop w:val="0"/>
      <w:marBottom w:val="0"/>
      <w:divBdr>
        <w:top w:val="none" w:sz="0" w:space="0" w:color="auto"/>
        <w:left w:val="none" w:sz="0" w:space="0" w:color="auto"/>
        <w:bottom w:val="none" w:sz="0" w:space="0" w:color="auto"/>
        <w:right w:val="none" w:sz="0" w:space="0" w:color="auto"/>
      </w:divBdr>
    </w:div>
    <w:div w:id="1024212935">
      <w:bodyDiv w:val="1"/>
      <w:marLeft w:val="0"/>
      <w:marRight w:val="0"/>
      <w:marTop w:val="0"/>
      <w:marBottom w:val="0"/>
      <w:divBdr>
        <w:top w:val="none" w:sz="0" w:space="0" w:color="auto"/>
        <w:left w:val="none" w:sz="0" w:space="0" w:color="auto"/>
        <w:bottom w:val="none" w:sz="0" w:space="0" w:color="auto"/>
        <w:right w:val="none" w:sz="0" w:space="0" w:color="auto"/>
      </w:divBdr>
    </w:div>
    <w:div w:id="1161892525">
      <w:bodyDiv w:val="1"/>
      <w:marLeft w:val="0"/>
      <w:marRight w:val="0"/>
      <w:marTop w:val="0"/>
      <w:marBottom w:val="0"/>
      <w:divBdr>
        <w:top w:val="none" w:sz="0" w:space="0" w:color="auto"/>
        <w:left w:val="none" w:sz="0" w:space="0" w:color="auto"/>
        <w:bottom w:val="none" w:sz="0" w:space="0" w:color="auto"/>
        <w:right w:val="none" w:sz="0" w:space="0" w:color="auto"/>
      </w:divBdr>
    </w:div>
    <w:div w:id="1898740742">
      <w:bodyDiv w:val="1"/>
      <w:marLeft w:val="0"/>
      <w:marRight w:val="0"/>
      <w:marTop w:val="0"/>
      <w:marBottom w:val="0"/>
      <w:divBdr>
        <w:top w:val="none" w:sz="0" w:space="0" w:color="auto"/>
        <w:left w:val="none" w:sz="0" w:space="0" w:color="auto"/>
        <w:bottom w:val="none" w:sz="0" w:space="0" w:color="auto"/>
        <w:right w:val="none" w:sz="0" w:space="0" w:color="auto"/>
      </w:divBdr>
      <w:divsChild>
        <w:div w:id="2108966072">
          <w:marLeft w:val="0"/>
          <w:marRight w:val="0"/>
          <w:marTop w:val="0"/>
          <w:marBottom w:val="0"/>
          <w:divBdr>
            <w:top w:val="none" w:sz="0" w:space="0" w:color="auto"/>
            <w:left w:val="none" w:sz="0" w:space="0" w:color="auto"/>
            <w:bottom w:val="none" w:sz="0" w:space="0" w:color="auto"/>
            <w:right w:val="none" w:sz="0" w:space="0" w:color="auto"/>
          </w:divBdr>
          <w:divsChild>
            <w:div w:id="1713725740">
              <w:marLeft w:val="0"/>
              <w:marRight w:val="0"/>
              <w:marTop w:val="0"/>
              <w:marBottom w:val="225"/>
              <w:divBdr>
                <w:top w:val="none" w:sz="0" w:space="0" w:color="auto"/>
                <w:left w:val="none" w:sz="0" w:space="0" w:color="auto"/>
                <w:bottom w:val="none" w:sz="0" w:space="0" w:color="auto"/>
                <w:right w:val="none" w:sz="0" w:space="0" w:color="auto"/>
              </w:divBdr>
              <w:divsChild>
                <w:div w:id="703332478">
                  <w:marLeft w:val="0"/>
                  <w:marRight w:val="0"/>
                  <w:marTop w:val="0"/>
                  <w:marBottom w:val="0"/>
                  <w:divBdr>
                    <w:top w:val="none" w:sz="0" w:space="0" w:color="auto"/>
                    <w:left w:val="none" w:sz="0" w:space="0" w:color="auto"/>
                    <w:bottom w:val="none" w:sz="0" w:space="0" w:color="auto"/>
                    <w:right w:val="none" w:sz="0" w:space="0" w:color="auto"/>
                  </w:divBdr>
                  <w:divsChild>
                    <w:div w:id="1049458037">
                      <w:marLeft w:val="0"/>
                      <w:marRight w:val="0"/>
                      <w:marTop w:val="0"/>
                      <w:marBottom w:val="0"/>
                      <w:divBdr>
                        <w:top w:val="none" w:sz="0" w:space="0" w:color="auto"/>
                        <w:left w:val="none" w:sz="0" w:space="0" w:color="auto"/>
                        <w:bottom w:val="none" w:sz="0" w:space="0" w:color="auto"/>
                        <w:right w:val="none" w:sz="0" w:space="0" w:color="auto"/>
                      </w:divBdr>
                      <w:divsChild>
                        <w:div w:id="298806354">
                          <w:marLeft w:val="0"/>
                          <w:marRight w:val="0"/>
                          <w:marTop w:val="0"/>
                          <w:marBottom w:val="225"/>
                          <w:divBdr>
                            <w:top w:val="none" w:sz="0" w:space="0" w:color="auto"/>
                            <w:left w:val="none" w:sz="0" w:space="0" w:color="auto"/>
                            <w:bottom w:val="none" w:sz="0" w:space="0" w:color="auto"/>
                            <w:right w:val="none" w:sz="0" w:space="0" w:color="auto"/>
                          </w:divBdr>
                          <w:divsChild>
                            <w:div w:id="1978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6186">
      <w:bodyDiv w:val="1"/>
      <w:marLeft w:val="0"/>
      <w:marRight w:val="0"/>
      <w:marTop w:val="0"/>
      <w:marBottom w:val="0"/>
      <w:divBdr>
        <w:top w:val="none" w:sz="0" w:space="0" w:color="auto"/>
        <w:left w:val="none" w:sz="0" w:space="0" w:color="auto"/>
        <w:bottom w:val="none" w:sz="0" w:space="0" w:color="auto"/>
        <w:right w:val="none" w:sz="0" w:space="0" w:color="auto"/>
      </w:divBdr>
    </w:div>
    <w:div w:id="21207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Rowbotham</dc:creator>
  <cp:keywords/>
  <dc:description/>
  <cp:lastModifiedBy>Adrian Rowbotham</cp:lastModifiedBy>
  <cp:revision>5</cp:revision>
  <dcterms:created xsi:type="dcterms:W3CDTF">2020-05-05T09:01:00Z</dcterms:created>
  <dcterms:modified xsi:type="dcterms:W3CDTF">2020-05-05T09:35:00Z</dcterms:modified>
</cp:coreProperties>
</file>