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5" w:type="dxa"/>
        <w:tblInd w:w="-72" w:type="dxa"/>
        <w:tblLook w:val="01E0" w:firstRow="1" w:lastRow="1" w:firstColumn="1" w:lastColumn="1" w:noHBand="0" w:noVBand="0"/>
      </w:tblPr>
      <w:tblGrid>
        <w:gridCol w:w="462"/>
        <w:gridCol w:w="2402"/>
        <w:gridCol w:w="2918"/>
        <w:gridCol w:w="4209"/>
        <w:gridCol w:w="48"/>
        <w:gridCol w:w="236"/>
      </w:tblGrid>
      <w:tr w:rsidR="008132AC" w:rsidTr="006C4A13">
        <w:trPr>
          <w:gridAfter w:val="2"/>
          <w:wAfter w:w="284" w:type="dxa"/>
        </w:trPr>
        <w:tc>
          <w:tcPr>
            <w:tcW w:w="5782" w:type="dxa"/>
            <w:gridSpan w:val="3"/>
          </w:tcPr>
          <w:p w:rsidR="008132AC" w:rsidRDefault="008132A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09" w:type="dxa"/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CIPFA North East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5782" w:type="dxa"/>
            <w:gridSpan w:val="3"/>
          </w:tcPr>
          <w:p w:rsidR="008132AC" w:rsidRDefault="008132A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09" w:type="dxa"/>
          </w:tcPr>
          <w:p w:rsidR="008132AC" w:rsidRDefault="0050361D" w:rsidP="001C697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</w:t>
            </w:r>
            <w:r w:rsidR="008132AC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1C6975">
              <w:rPr>
                <w:rFonts w:ascii="Verdana" w:hAnsi="Verdana" w:cs="Arial"/>
                <w:sz w:val="20"/>
                <w:szCs w:val="20"/>
              </w:rPr>
              <w:t>Judith Savage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5782" w:type="dxa"/>
            <w:gridSpan w:val="3"/>
          </w:tcPr>
          <w:p w:rsidR="008132AC" w:rsidRDefault="008132A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09" w:type="dxa"/>
          </w:tcPr>
          <w:p w:rsidR="008132AC" w:rsidRDefault="0050361D" w:rsidP="001C697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Vice President</w:t>
            </w:r>
            <w:r w:rsidR="008132AC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1C6975">
              <w:rPr>
                <w:rFonts w:ascii="Verdana" w:hAnsi="Verdana" w:cs="Arial"/>
                <w:sz w:val="20"/>
                <w:szCs w:val="20"/>
              </w:rPr>
              <w:t>Jim Dafter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5782" w:type="dxa"/>
            <w:gridSpan w:val="3"/>
          </w:tcPr>
          <w:p w:rsidR="008132AC" w:rsidRDefault="008132A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09" w:type="dxa"/>
          </w:tcPr>
          <w:p w:rsidR="008132AC" w:rsidRDefault="008132A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Treasurer: Matt Calvert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5782" w:type="dxa"/>
            <w:gridSpan w:val="3"/>
          </w:tcPr>
          <w:p w:rsidR="008132AC" w:rsidRDefault="008132A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09" w:type="dxa"/>
          </w:tcPr>
          <w:p w:rsidR="008132AC" w:rsidRDefault="008132AC" w:rsidP="00A8497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Secretary</w:t>
            </w:r>
            <w:r w:rsidR="00F418EB">
              <w:rPr>
                <w:rFonts w:ascii="Verdana" w:hAnsi="Verdana" w:cs="Arial"/>
                <w:sz w:val="20"/>
                <w:szCs w:val="20"/>
              </w:rPr>
              <w:t xml:space="preserve"> (Acting)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F418EB">
              <w:rPr>
                <w:rFonts w:ascii="Verdana" w:hAnsi="Verdana" w:cs="Arial"/>
                <w:sz w:val="20"/>
                <w:szCs w:val="20"/>
              </w:rPr>
              <w:t>James Charlton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9991" w:type="dxa"/>
            <w:gridSpan w:val="4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rPr>
          <w:gridAfter w:val="2"/>
          <w:wAfter w:w="284" w:type="dxa"/>
        </w:trPr>
        <w:tc>
          <w:tcPr>
            <w:tcW w:w="5782" w:type="dxa"/>
            <w:gridSpan w:val="3"/>
            <w:vAlign w:val="center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48"/>
                <w:szCs w:val="48"/>
              </w:rPr>
            </w:pPr>
            <w:r>
              <w:rPr>
                <w:rFonts w:ascii="Verdana" w:hAnsi="Verdana" w:cs="Arial"/>
                <w:sz w:val="48"/>
                <w:szCs w:val="48"/>
              </w:rPr>
              <w:t>minutes</w:t>
            </w:r>
          </w:p>
        </w:tc>
        <w:tc>
          <w:tcPr>
            <w:tcW w:w="4209" w:type="dxa"/>
            <w:vAlign w:val="center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9991" w:type="dxa"/>
            <w:gridSpan w:val="4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Meeting:</w:t>
            </w:r>
          </w:p>
        </w:tc>
        <w:tc>
          <w:tcPr>
            <w:tcW w:w="7127" w:type="dxa"/>
            <w:gridSpan w:val="2"/>
          </w:tcPr>
          <w:p w:rsidR="008132AC" w:rsidRDefault="008132AC" w:rsidP="00067C5B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CIPFA </w:t>
            </w:r>
            <w:r w:rsidR="00A5707C">
              <w:rPr>
                <w:rFonts w:ascii="Verdana" w:hAnsi="Verdana" w:cs="Arial"/>
                <w:sz w:val="20"/>
                <w:szCs w:val="20"/>
              </w:rPr>
              <w:t>AGM 201</w:t>
            </w:r>
            <w:r w:rsidR="00F418EB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7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Date and time:</w:t>
            </w:r>
          </w:p>
        </w:tc>
        <w:tc>
          <w:tcPr>
            <w:tcW w:w="7127" w:type="dxa"/>
            <w:gridSpan w:val="2"/>
          </w:tcPr>
          <w:p w:rsidR="008132AC" w:rsidRDefault="00AC1F50" w:rsidP="00160572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418EB"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March</w:t>
            </w:r>
            <w:r w:rsidRPr="009C777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F418EB" w:rsidRPr="009C7778">
              <w:rPr>
                <w:rFonts w:ascii="Verdana" w:hAnsi="Verdana" w:cs="Arial"/>
                <w:sz w:val="20"/>
                <w:szCs w:val="20"/>
              </w:rPr>
              <w:t>4:45</w:t>
            </w:r>
            <w:r w:rsidRPr="009C7778">
              <w:rPr>
                <w:rFonts w:ascii="Verdana" w:hAnsi="Verdana" w:cs="Arial"/>
                <w:sz w:val="20"/>
                <w:szCs w:val="20"/>
              </w:rPr>
              <w:t>pm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7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Venue:</w:t>
            </w:r>
          </w:p>
        </w:tc>
        <w:tc>
          <w:tcPr>
            <w:tcW w:w="7127" w:type="dxa"/>
            <w:gridSpan w:val="2"/>
          </w:tcPr>
          <w:p w:rsidR="008132AC" w:rsidRDefault="00F96E9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Gateshead Civic Centre, Regent Street, Gateshead, NE8 1HH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7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Executive present:</w:t>
            </w:r>
          </w:p>
        </w:tc>
        <w:tc>
          <w:tcPr>
            <w:tcW w:w="7127" w:type="dxa"/>
            <w:gridSpan w:val="2"/>
          </w:tcPr>
          <w:p w:rsidR="008132AC" w:rsidRDefault="002E72ED" w:rsidP="009C7778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Judith Savage, Jim Dafter, Matt Calvert, James Charlton</w:t>
            </w:r>
            <w:r w:rsidR="009C7778">
              <w:rPr>
                <w:rFonts w:ascii="Verdana" w:hAnsi="Verdana" w:cs="Arial"/>
                <w:sz w:val="20"/>
                <w:szCs w:val="20"/>
              </w:rPr>
              <w:t>, David Jobson, Clive Johnson, Angela Waring, Tracy Wood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7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Also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in attendance:</w:t>
            </w:r>
          </w:p>
        </w:tc>
        <w:tc>
          <w:tcPr>
            <w:tcW w:w="7127" w:type="dxa"/>
            <w:gridSpan w:val="2"/>
          </w:tcPr>
          <w:p w:rsidR="008132AC" w:rsidRDefault="009C7778" w:rsidP="00893269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9C7778">
              <w:rPr>
                <w:rFonts w:ascii="Verdana" w:hAnsi="Verdana" w:cs="Arial"/>
                <w:sz w:val="20"/>
                <w:szCs w:val="20"/>
              </w:rPr>
              <w:t xml:space="preserve">Rachael Crowe, Drew Cullen (CIPFA), David </w:t>
            </w:r>
            <w:proofErr w:type="spellStart"/>
            <w:r w:rsidRPr="009C7778">
              <w:rPr>
                <w:rFonts w:ascii="Verdana" w:hAnsi="Verdana" w:cs="Arial"/>
                <w:sz w:val="20"/>
                <w:szCs w:val="20"/>
              </w:rPr>
              <w:t>Hasnip</w:t>
            </w:r>
            <w:proofErr w:type="spellEnd"/>
            <w:r w:rsidRPr="009C7778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Virginia Stanton</w:t>
            </w: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2864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7" w:type="dxa"/>
            <w:gridSpan w:val="2"/>
          </w:tcPr>
          <w:p w:rsidR="008132AC" w:rsidRDefault="008132AC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rPr>
          <w:gridAfter w:val="2"/>
          <w:wAfter w:w="284" w:type="dxa"/>
        </w:trPr>
        <w:tc>
          <w:tcPr>
            <w:tcW w:w="9991" w:type="dxa"/>
            <w:gridSpan w:val="4"/>
          </w:tcPr>
          <w:p w:rsidR="008132AC" w:rsidRDefault="008132AC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Look w:val="00A0" w:firstRow="1" w:lastRow="0" w:firstColumn="1" w:lastColumn="0" w:noHBand="0" w:noVBand="0"/>
        </w:tblPrEx>
        <w:tc>
          <w:tcPr>
            <w:tcW w:w="462" w:type="dxa"/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</w:tcPr>
          <w:p w:rsidR="008132AC" w:rsidRDefault="008132A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Apologies for absence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Pr="003856D8" w:rsidRDefault="008259BC" w:rsidP="00AC1F50">
            <w:pPr>
              <w:rPr>
                <w:rFonts w:ascii="Verdana" w:hAnsi="Verdana" w:cs="Arial"/>
                <w:sz w:val="20"/>
                <w:szCs w:val="20"/>
              </w:rPr>
            </w:pPr>
            <w:r w:rsidRPr="003856D8">
              <w:rPr>
                <w:rFonts w:ascii="Verdana" w:hAnsi="Verdana" w:cs="Calibri"/>
                <w:sz w:val="20"/>
                <w:szCs w:val="20"/>
              </w:rPr>
              <w:t>Jane</w:t>
            </w:r>
            <w:r w:rsidR="002E72ED" w:rsidRPr="003856D8">
              <w:rPr>
                <w:rFonts w:ascii="Verdana" w:hAnsi="Verdana" w:cs="Calibri"/>
                <w:sz w:val="20"/>
                <w:szCs w:val="20"/>
              </w:rPr>
              <w:t xml:space="preserve"> Cuthbertson</w:t>
            </w:r>
            <w:r w:rsidRPr="003856D8">
              <w:rPr>
                <w:rFonts w:ascii="Verdana" w:hAnsi="Verdana" w:cs="Calibri"/>
                <w:sz w:val="20"/>
                <w:szCs w:val="20"/>
              </w:rPr>
              <w:t>, Helen</w:t>
            </w:r>
            <w:r w:rsidR="002E72ED" w:rsidRPr="003856D8">
              <w:rPr>
                <w:rFonts w:ascii="Verdana" w:hAnsi="Verdana" w:cs="Calibri"/>
                <w:sz w:val="20"/>
                <w:szCs w:val="20"/>
              </w:rPr>
              <w:t xml:space="preserve"> Dalby</w:t>
            </w:r>
            <w:r w:rsidRPr="003856D8">
              <w:rPr>
                <w:rFonts w:ascii="Verdana" w:hAnsi="Verdana" w:cs="Calibri"/>
                <w:sz w:val="20"/>
                <w:szCs w:val="20"/>
              </w:rPr>
              <w:t>, Michael</w:t>
            </w:r>
            <w:r w:rsidR="002E72ED" w:rsidRPr="003856D8">
              <w:rPr>
                <w:rFonts w:ascii="Verdana" w:hAnsi="Verdana" w:cs="Calibri"/>
                <w:sz w:val="20"/>
                <w:szCs w:val="20"/>
              </w:rPr>
              <w:t xml:space="preserve"> Brodie</w:t>
            </w:r>
            <w:r w:rsidRPr="003856D8">
              <w:rPr>
                <w:rFonts w:ascii="Verdana" w:hAnsi="Verdana" w:cs="Calibri"/>
                <w:sz w:val="20"/>
                <w:szCs w:val="20"/>
              </w:rPr>
              <w:t>, Peter</w:t>
            </w:r>
            <w:r w:rsidR="002E72ED" w:rsidRPr="003856D8">
              <w:rPr>
                <w:rFonts w:ascii="Verdana" w:hAnsi="Verdana" w:cs="Calibri"/>
                <w:sz w:val="20"/>
                <w:szCs w:val="20"/>
              </w:rPr>
              <w:t xml:space="preserve"> Sullivan</w:t>
            </w:r>
            <w:r w:rsidRPr="003856D8">
              <w:rPr>
                <w:rFonts w:ascii="Verdana" w:hAnsi="Verdana" w:cs="Calibri"/>
                <w:sz w:val="20"/>
                <w:szCs w:val="20"/>
              </w:rPr>
              <w:t>, Bruce</w:t>
            </w:r>
            <w:r w:rsidR="002E72ED" w:rsidRPr="003856D8">
              <w:rPr>
                <w:rFonts w:ascii="Verdana" w:hAnsi="Verdana" w:cs="Calibri"/>
                <w:sz w:val="20"/>
                <w:szCs w:val="20"/>
              </w:rPr>
              <w:t xml:space="preserve"> Parvin, Katy Laing, Laura Burbridge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A84972" w:rsidP="00F96E92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Minutes of AGM of </w:t>
            </w:r>
            <w:r w:rsidR="00F418EB">
              <w:rPr>
                <w:rFonts w:ascii="Verdana" w:hAnsi="Verdana" w:cs="Arial"/>
                <w:b/>
                <w:sz w:val="20"/>
                <w:szCs w:val="20"/>
              </w:rPr>
              <w:t>15</w:t>
            </w:r>
            <w:r w:rsidR="00AC1F50">
              <w:rPr>
                <w:rFonts w:ascii="Verdana" w:hAnsi="Verdana" w:cs="Arial"/>
                <w:b/>
                <w:sz w:val="20"/>
                <w:szCs w:val="20"/>
              </w:rPr>
              <w:t xml:space="preserve"> March 201</w:t>
            </w:r>
            <w:r w:rsidR="00F418EB">
              <w:rPr>
                <w:rFonts w:ascii="Verdana" w:hAnsi="Verdana" w:cs="Arial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18EB" w:rsidRDefault="00F418E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E72ED" w:rsidRDefault="002E72E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Amendments requested to the minutes to reflect AW was in attendance and JC had submitted apologies.</w:t>
            </w:r>
          </w:p>
          <w:p w:rsidR="008259BC" w:rsidRDefault="008259B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 w:rsidP="00F96E92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Financial </w:t>
            </w:r>
            <w:r w:rsidR="00A84972">
              <w:rPr>
                <w:rFonts w:ascii="Verdana" w:hAnsi="Verdana" w:cs="Arial"/>
                <w:b/>
                <w:sz w:val="20"/>
                <w:szCs w:val="20"/>
              </w:rPr>
              <w:t>report and audited accounts 201</w:t>
            </w:r>
            <w:r w:rsidR="00F418EB">
              <w:rPr>
                <w:rFonts w:ascii="Verdana" w:hAnsi="Verdana" w:cs="Arial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RPr="00242719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Pr="00242719" w:rsidRDefault="008132A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9BC" w:rsidRDefault="008259BC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259BC" w:rsidRDefault="002E72ED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MC presented the financial report for 2017:</w:t>
            </w:r>
          </w:p>
          <w:p w:rsidR="002E72ED" w:rsidRDefault="002E72ED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There were no changes made to the draft report presented to the exec in January. The accounts show </w:t>
            </w:r>
            <w:r w:rsidR="00A02E70">
              <w:rPr>
                <w:rFonts w:ascii="Verdana" w:hAnsi="Verdana" w:cs="Arial"/>
                <w:sz w:val="20"/>
                <w:szCs w:val="20"/>
              </w:rPr>
              <w:t>an increase in reserves on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C3202">
              <w:rPr>
                <w:rFonts w:ascii="Verdana" w:hAnsi="Verdana" w:cs="Arial"/>
                <w:sz w:val="20"/>
                <w:szCs w:val="20"/>
              </w:rPr>
              <w:t>the previous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year </w:t>
            </w:r>
            <w:r w:rsidR="002C3202">
              <w:rPr>
                <w:rFonts w:ascii="Verdana" w:hAnsi="Verdana" w:cs="Arial"/>
                <w:sz w:val="20"/>
                <w:szCs w:val="20"/>
              </w:rPr>
              <w:t>of</w:t>
            </w:r>
            <w:r>
              <w:rPr>
                <w:rFonts w:ascii="Verdana" w:hAnsi="Verdana" w:cs="Arial"/>
                <w:sz w:val="20"/>
                <w:szCs w:val="20"/>
              </w:rPr>
              <w:t xml:space="preserve"> £3.5K to just under £22K.</w:t>
            </w:r>
            <w:r w:rsidR="00DA3587">
              <w:rPr>
                <w:rFonts w:ascii="Verdana" w:hAnsi="Verdana" w:cs="Arial"/>
                <w:sz w:val="20"/>
                <w:szCs w:val="20"/>
              </w:rPr>
              <w:t xml:space="preserve"> Th</w:t>
            </w:r>
            <w:r w:rsidR="002C3202">
              <w:rPr>
                <w:rFonts w:ascii="Verdana" w:hAnsi="Verdana" w:cs="Arial"/>
                <w:sz w:val="20"/>
                <w:szCs w:val="20"/>
              </w:rPr>
              <w:t>is was mainly due to the</w:t>
            </w:r>
            <w:r w:rsidR="00DA3587">
              <w:rPr>
                <w:rFonts w:ascii="Verdana" w:hAnsi="Verdana" w:cs="Arial"/>
                <w:sz w:val="20"/>
                <w:szCs w:val="20"/>
              </w:rPr>
              <w:t xml:space="preserve"> North East Annual Conference </w:t>
            </w:r>
            <w:r w:rsidR="002C3202">
              <w:rPr>
                <w:rFonts w:ascii="Verdana" w:hAnsi="Verdana" w:cs="Arial"/>
                <w:sz w:val="20"/>
                <w:szCs w:val="20"/>
              </w:rPr>
              <w:t xml:space="preserve">making </w:t>
            </w:r>
            <w:r w:rsidR="00DA3587">
              <w:rPr>
                <w:rFonts w:ascii="Verdana" w:hAnsi="Verdana" w:cs="Arial"/>
                <w:sz w:val="20"/>
                <w:szCs w:val="20"/>
              </w:rPr>
              <w:t>a £2K surplus.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It was acknowledged that we need to plan how reserves will be utilised</w:t>
            </w:r>
            <w:r w:rsidR="002C3202">
              <w:rPr>
                <w:rFonts w:ascii="Verdana" w:hAnsi="Verdana" w:cs="Arial"/>
                <w:sz w:val="20"/>
                <w:szCs w:val="20"/>
              </w:rPr>
              <w:t xml:space="preserve"> going forward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especially </w:t>
            </w:r>
            <w:r w:rsidR="002C3202">
              <w:rPr>
                <w:rFonts w:ascii="Verdana" w:hAnsi="Verdana" w:cs="Arial"/>
                <w:sz w:val="20"/>
                <w:szCs w:val="20"/>
              </w:rPr>
              <w:t>as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sponsorship income </w:t>
            </w:r>
            <w:r w:rsidR="002C3202">
              <w:rPr>
                <w:rFonts w:ascii="Verdana" w:hAnsi="Verdana" w:cs="Arial"/>
                <w:sz w:val="20"/>
                <w:szCs w:val="20"/>
              </w:rPr>
              <w:t>is likely 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increase reserves further next year.</w:t>
            </w:r>
          </w:p>
          <w:p w:rsidR="002E72ED" w:rsidRDefault="002E72ED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E72ED" w:rsidRDefault="002E72ED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accounts have been audited </w:t>
            </w:r>
            <w:r w:rsidR="002C3202">
              <w:rPr>
                <w:rFonts w:ascii="Verdana" w:hAnsi="Verdana" w:cs="Arial"/>
                <w:sz w:val="20"/>
                <w:szCs w:val="20"/>
              </w:rPr>
              <w:t xml:space="preserve">with </w:t>
            </w:r>
            <w:r>
              <w:rPr>
                <w:rFonts w:ascii="Verdana" w:hAnsi="Verdana" w:cs="Arial"/>
                <w:sz w:val="20"/>
                <w:szCs w:val="20"/>
              </w:rPr>
              <w:t>no issues</w:t>
            </w:r>
            <w:r w:rsidR="002C3202">
              <w:rPr>
                <w:rFonts w:ascii="Verdana" w:hAnsi="Verdana" w:cs="Arial"/>
                <w:sz w:val="20"/>
                <w:szCs w:val="20"/>
              </w:rPr>
              <w:t xml:space="preserve"> raised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2E72ED" w:rsidRDefault="002E72ED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E72ED" w:rsidRDefault="002E72ED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financial report and audited accounts were approved and signed by the Vice President, Treasurer and Secretary.</w:t>
            </w:r>
          </w:p>
          <w:p w:rsidR="008259BC" w:rsidRDefault="008259BC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DA3587" w:rsidRDefault="00DA3587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JD presented the </w:t>
            </w:r>
            <w:r w:rsidR="002C3202">
              <w:rPr>
                <w:rFonts w:ascii="Verdana" w:hAnsi="Verdana" w:cs="Arial"/>
                <w:sz w:val="20"/>
                <w:szCs w:val="20"/>
              </w:rPr>
              <w:t>updated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Constitution</w:t>
            </w:r>
            <w:r w:rsidR="002C3202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Tendering limits were revised in liaison with the Treasurer, and an additional cheque signatory was added (‘anyone as approved by the exec’), to allow payments to be made more easily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in the event that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any of the authorised signatories are unavailable.  </w:t>
            </w:r>
          </w:p>
          <w:p w:rsidR="00DA3587" w:rsidRDefault="00DA3587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8259BC" w:rsidRPr="00242719" w:rsidRDefault="00DA3587" w:rsidP="002F29B2">
            <w:pPr>
              <w:tabs>
                <w:tab w:val="left" w:pos="6300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ACTION - </w:t>
            </w:r>
            <w:r w:rsidR="002C3202">
              <w:rPr>
                <w:rFonts w:ascii="Verdana" w:hAnsi="Verdana" w:cs="Arial"/>
                <w:sz w:val="20"/>
                <w:szCs w:val="20"/>
              </w:rPr>
              <w:t>R</w:t>
            </w:r>
            <w:r>
              <w:rPr>
                <w:rFonts w:ascii="Verdana" w:hAnsi="Verdana" w:cs="Arial"/>
                <w:sz w:val="20"/>
                <w:szCs w:val="20"/>
              </w:rPr>
              <w:t xml:space="preserve">evised Constitution </w:t>
            </w:r>
            <w:r w:rsidR="002C3202">
              <w:rPr>
                <w:rFonts w:ascii="Verdana" w:hAnsi="Verdana" w:cs="Arial"/>
                <w:sz w:val="20"/>
                <w:szCs w:val="20"/>
              </w:rPr>
              <w:t>to be published on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the website.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Pr="00242719" w:rsidRDefault="008132A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060726" w:rsidP="00F96E92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President’s</w:t>
            </w:r>
            <w:r w:rsidR="00237B21">
              <w:rPr>
                <w:rFonts w:ascii="Verdana" w:hAnsi="Verdana" w:cs="Arial"/>
                <w:b/>
                <w:sz w:val="20"/>
                <w:szCs w:val="20"/>
              </w:rPr>
              <w:t xml:space="preserve"> Annual Report 201</w:t>
            </w:r>
            <w:r w:rsidR="00F418EB">
              <w:rPr>
                <w:rFonts w:ascii="Verdana" w:hAnsi="Verdana" w:cs="Arial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78F" w:rsidRPr="00A84972" w:rsidRDefault="003C478F" w:rsidP="001A46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59BC" w:rsidRDefault="008259B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259BC" w:rsidRDefault="002652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JS presented the </w:t>
            </w:r>
            <w:r w:rsidR="002C3202">
              <w:rPr>
                <w:rFonts w:ascii="Verdana" w:hAnsi="Verdana" w:cs="Arial"/>
                <w:sz w:val="20"/>
                <w:szCs w:val="20"/>
              </w:rPr>
              <w:t>P</w:t>
            </w:r>
            <w:r>
              <w:rPr>
                <w:rFonts w:ascii="Verdana" w:hAnsi="Verdana" w:cs="Arial"/>
                <w:sz w:val="20"/>
                <w:szCs w:val="20"/>
              </w:rPr>
              <w:t xml:space="preserve">resident’s annual report over the telephone.  This was the first year of JS’s presidency </w:t>
            </w:r>
            <w:r w:rsidR="005A6F42">
              <w:rPr>
                <w:rFonts w:ascii="Verdana" w:hAnsi="Verdana" w:cs="Arial"/>
                <w:sz w:val="20"/>
                <w:szCs w:val="20"/>
              </w:rPr>
              <w:t>and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no changes</w:t>
            </w:r>
            <w:r w:rsidR="002C320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B31DF">
              <w:rPr>
                <w:rFonts w:ascii="Verdana" w:hAnsi="Verdana" w:cs="Arial"/>
                <w:sz w:val="20"/>
                <w:szCs w:val="20"/>
              </w:rPr>
              <w:t xml:space="preserve">were </w:t>
            </w:r>
            <w:r w:rsidR="002C3202">
              <w:rPr>
                <w:rFonts w:ascii="Verdana" w:hAnsi="Verdana" w:cs="Arial"/>
                <w:sz w:val="20"/>
                <w:szCs w:val="20"/>
              </w:rPr>
              <w:t>made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to the strategic objectives of the region</w:t>
            </w:r>
            <w:r w:rsidR="005B31DF">
              <w:rPr>
                <w:rFonts w:ascii="Verdana" w:hAnsi="Verdana" w:cs="Arial"/>
                <w:sz w:val="20"/>
                <w:szCs w:val="20"/>
              </w:rPr>
              <w:t xml:space="preserve"> - w</w:t>
            </w:r>
            <w:r w:rsidR="00644D12">
              <w:rPr>
                <w:rFonts w:ascii="Verdana" w:hAnsi="Verdana" w:cs="Arial"/>
                <w:sz w:val="20"/>
                <w:szCs w:val="20"/>
              </w:rPr>
              <w:t xml:space="preserve">e continue to offer excellent events and support members in a </w:t>
            </w:r>
            <w:r w:rsidR="005B31DF">
              <w:rPr>
                <w:rFonts w:ascii="Verdana" w:hAnsi="Verdana" w:cs="Arial"/>
                <w:sz w:val="20"/>
                <w:szCs w:val="20"/>
              </w:rPr>
              <w:t>variety</w:t>
            </w:r>
            <w:r w:rsidR="00644D12">
              <w:rPr>
                <w:rFonts w:ascii="Verdana" w:hAnsi="Verdana" w:cs="Arial"/>
                <w:sz w:val="20"/>
                <w:szCs w:val="20"/>
              </w:rPr>
              <w:t xml:space="preserve"> of ways.</w:t>
            </w:r>
          </w:p>
          <w:p w:rsidR="00093A2B" w:rsidRDefault="00093A2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93A2B" w:rsidRDefault="00093A2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 Regional Development Plan (RDP) was approved by CIPFA which included additional funding for paid support to the exec.</w:t>
            </w:r>
          </w:p>
          <w:p w:rsidR="00093A2B" w:rsidRDefault="00093A2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93A2B" w:rsidRDefault="008F0E5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="00087EC9">
              <w:rPr>
                <w:rFonts w:ascii="Verdana" w:hAnsi="Verdana" w:cs="Arial"/>
                <w:sz w:val="20"/>
                <w:szCs w:val="20"/>
              </w:rPr>
              <w:t>North East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87EC9">
              <w:rPr>
                <w:rFonts w:ascii="Verdana" w:hAnsi="Verdana" w:cs="Arial"/>
                <w:sz w:val="20"/>
                <w:szCs w:val="20"/>
              </w:rPr>
              <w:t>A</w:t>
            </w:r>
            <w:r w:rsidR="00093A2B">
              <w:rPr>
                <w:rFonts w:ascii="Verdana" w:hAnsi="Verdana" w:cs="Arial"/>
                <w:sz w:val="20"/>
                <w:szCs w:val="20"/>
              </w:rPr>
              <w:t xml:space="preserve">nnual </w:t>
            </w:r>
            <w:r w:rsidR="00087EC9">
              <w:rPr>
                <w:rFonts w:ascii="Verdana" w:hAnsi="Verdana" w:cs="Arial"/>
                <w:sz w:val="20"/>
                <w:szCs w:val="20"/>
              </w:rPr>
              <w:t>C</w:t>
            </w:r>
            <w:r w:rsidR="00093A2B">
              <w:rPr>
                <w:rFonts w:ascii="Verdana" w:hAnsi="Verdana" w:cs="Arial"/>
                <w:sz w:val="20"/>
                <w:szCs w:val="20"/>
              </w:rPr>
              <w:t xml:space="preserve">onference </w:t>
            </w:r>
            <w:r>
              <w:rPr>
                <w:rFonts w:ascii="Verdana" w:hAnsi="Verdana" w:cs="Arial"/>
                <w:sz w:val="20"/>
                <w:szCs w:val="20"/>
              </w:rPr>
              <w:t>this year was our best yet, striking a good balance between health and Local Government speakers and receiv</w:t>
            </w:r>
            <w:r w:rsidR="00247829">
              <w:rPr>
                <w:rFonts w:ascii="Verdana" w:hAnsi="Verdana" w:cs="Arial"/>
                <w:sz w:val="20"/>
                <w:szCs w:val="20"/>
              </w:rPr>
              <w:t>ed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great feedback.  </w:t>
            </w:r>
            <w:r w:rsidR="005B31DF"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ome of the feedback suggested there should be more of a balance between strategic and operational level speakers. JC and George Clark </w:t>
            </w:r>
            <w:r w:rsidR="00247829">
              <w:rPr>
                <w:rFonts w:ascii="Verdana" w:hAnsi="Verdana" w:cs="Arial"/>
                <w:sz w:val="20"/>
                <w:szCs w:val="20"/>
              </w:rPr>
              <w:t>will be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taking a step back from organising next year</w:t>
            </w:r>
            <w:r w:rsidR="00247829">
              <w:rPr>
                <w:rFonts w:ascii="Verdana" w:hAnsi="Verdana" w:cs="Arial"/>
                <w:sz w:val="20"/>
                <w:szCs w:val="20"/>
              </w:rPr>
              <w:t>’s conference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B31DF">
              <w:rPr>
                <w:rFonts w:ascii="Verdana" w:hAnsi="Verdana" w:cs="Arial"/>
                <w:sz w:val="20"/>
                <w:szCs w:val="20"/>
              </w:rPr>
              <w:t>with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AW taking </w:t>
            </w:r>
            <w:r w:rsidR="005B31DF">
              <w:rPr>
                <w:rFonts w:ascii="Verdana" w:hAnsi="Verdana" w:cs="Arial"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lead</w:t>
            </w:r>
            <w:proofErr w:type="gramEnd"/>
            <w:r w:rsidR="00247829">
              <w:rPr>
                <w:rFonts w:ascii="Verdana" w:hAnsi="Verdana" w:cs="Arial"/>
                <w:sz w:val="20"/>
                <w:szCs w:val="20"/>
              </w:rPr>
              <w:t xml:space="preserve"> but we need to ensure she </w:t>
            </w:r>
            <w:r w:rsidR="005B31DF">
              <w:rPr>
                <w:rFonts w:ascii="Verdana" w:hAnsi="Verdana" w:cs="Arial"/>
                <w:sz w:val="20"/>
                <w:szCs w:val="20"/>
              </w:rPr>
              <w:t>is well</w:t>
            </w:r>
            <w:r w:rsidR="00247829">
              <w:rPr>
                <w:rFonts w:ascii="Verdana" w:hAnsi="Verdana" w:cs="Arial"/>
                <w:sz w:val="20"/>
                <w:szCs w:val="20"/>
              </w:rPr>
              <w:t xml:space="preserve"> support</w:t>
            </w:r>
            <w:r w:rsidR="005B31DF">
              <w:rPr>
                <w:rFonts w:ascii="Verdana" w:hAnsi="Verdana" w:cs="Arial"/>
                <w:sz w:val="20"/>
                <w:szCs w:val="20"/>
              </w:rPr>
              <w:t>ed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093A2B" w:rsidRDefault="00093A2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E095C" w:rsidRPr="00265213" w:rsidRDefault="003E095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Other events in the year included the Brexit event, </w:t>
            </w:r>
            <w:r w:rsidR="00DE51F3">
              <w:rPr>
                <w:rFonts w:ascii="Verdana" w:hAnsi="Verdana" w:cs="Arial"/>
                <w:sz w:val="20"/>
                <w:szCs w:val="20"/>
              </w:rPr>
              <w:t>jointly organised with CIPFA HQ;</w:t>
            </w:r>
            <w:r w:rsidR="00247829">
              <w:rPr>
                <w:rFonts w:ascii="Verdana" w:hAnsi="Verdana" w:cs="Arial"/>
                <w:sz w:val="20"/>
                <w:szCs w:val="20"/>
              </w:rPr>
              <w:t xml:space="preserve"> an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Apprenticeship Levy event which received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a number of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delegates from a wider audience, i.e. not just CIPFA members or finance professionals</w:t>
            </w:r>
            <w:r w:rsidR="00DE51F3">
              <w:rPr>
                <w:rFonts w:ascii="Verdana" w:hAnsi="Verdana" w:cs="Arial"/>
                <w:sz w:val="20"/>
                <w:szCs w:val="20"/>
              </w:rPr>
              <w:t xml:space="preserve">; </w:t>
            </w:r>
            <w:r w:rsidR="00247829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="00DE51F3">
              <w:rPr>
                <w:rFonts w:ascii="Verdana" w:hAnsi="Verdana" w:cs="Arial"/>
                <w:sz w:val="20"/>
                <w:szCs w:val="20"/>
              </w:rPr>
              <w:t xml:space="preserve">Professional Update Day; </w:t>
            </w:r>
            <w:r w:rsidR="00247829">
              <w:rPr>
                <w:rFonts w:ascii="Verdana" w:hAnsi="Verdana" w:cs="Arial"/>
                <w:sz w:val="20"/>
                <w:szCs w:val="20"/>
              </w:rPr>
              <w:t>our A</w:t>
            </w:r>
            <w:r w:rsidR="00DE51F3">
              <w:rPr>
                <w:rFonts w:ascii="Verdana" w:hAnsi="Verdana" w:cs="Arial"/>
                <w:sz w:val="20"/>
                <w:szCs w:val="20"/>
              </w:rPr>
              <w:t xml:space="preserve">nnual </w:t>
            </w:r>
            <w:r w:rsidR="00247829">
              <w:rPr>
                <w:rFonts w:ascii="Verdana" w:hAnsi="Verdana" w:cs="Arial"/>
                <w:sz w:val="20"/>
                <w:szCs w:val="20"/>
              </w:rPr>
              <w:t>D</w:t>
            </w:r>
            <w:r w:rsidR="00DE51F3">
              <w:rPr>
                <w:rFonts w:ascii="Verdana" w:hAnsi="Verdana" w:cs="Arial"/>
                <w:sz w:val="20"/>
                <w:szCs w:val="20"/>
              </w:rPr>
              <w:t>inner</w:t>
            </w:r>
            <w:r w:rsidR="00852BC8">
              <w:rPr>
                <w:rFonts w:ascii="Verdana" w:hAnsi="Verdana" w:cs="Arial"/>
                <w:sz w:val="20"/>
                <w:szCs w:val="20"/>
              </w:rPr>
              <w:t>, which was very well attended at the new venue,</w:t>
            </w:r>
            <w:r w:rsidR="00DE51F3"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r w:rsidR="00247829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="00DE51F3">
              <w:rPr>
                <w:rFonts w:ascii="Verdana" w:hAnsi="Verdana" w:cs="Arial"/>
                <w:sz w:val="20"/>
                <w:szCs w:val="20"/>
              </w:rPr>
              <w:t>6</w:t>
            </w:r>
            <w:r w:rsidR="00DE51F3" w:rsidRPr="00DE51F3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="00DE51F3">
              <w:rPr>
                <w:rFonts w:ascii="Verdana" w:hAnsi="Verdana" w:cs="Arial"/>
                <w:sz w:val="20"/>
                <w:szCs w:val="20"/>
              </w:rPr>
              <w:t xml:space="preserve"> form </w:t>
            </w:r>
            <w:r w:rsidR="00247829">
              <w:rPr>
                <w:rFonts w:ascii="Verdana" w:hAnsi="Verdana" w:cs="Arial"/>
                <w:sz w:val="20"/>
                <w:szCs w:val="20"/>
              </w:rPr>
              <w:t>M</w:t>
            </w:r>
            <w:r w:rsidR="00DE51F3">
              <w:rPr>
                <w:rFonts w:ascii="Verdana" w:hAnsi="Verdana" w:cs="Arial"/>
                <w:sz w:val="20"/>
                <w:szCs w:val="20"/>
              </w:rPr>
              <w:t xml:space="preserve">anagement </w:t>
            </w:r>
            <w:r w:rsidR="00247829">
              <w:rPr>
                <w:rFonts w:ascii="Verdana" w:hAnsi="Verdana" w:cs="Arial"/>
                <w:sz w:val="20"/>
                <w:szCs w:val="20"/>
              </w:rPr>
              <w:t>G</w:t>
            </w:r>
            <w:r w:rsidR="00DE51F3">
              <w:rPr>
                <w:rFonts w:ascii="Verdana" w:hAnsi="Verdana" w:cs="Arial"/>
                <w:sz w:val="20"/>
                <w:szCs w:val="20"/>
              </w:rPr>
              <w:t>ames.</w:t>
            </w:r>
          </w:p>
          <w:p w:rsidR="008259BC" w:rsidRDefault="008259B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52BC8" w:rsidRDefault="00852B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Looking to the year ahead we are determined to win region of the year but </w:t>
            </w:r>
            <w:r w:rsidR="00CE1B26">
              <w:rPr>
                <w:rFonts w:ascii="Verdana" w:hAnsi="Verdana" w:cs="Arial"/>
                <w:sz w:val="20"/>
                <w:szCs w:val="20"/>
              </w:rPr>
              <w:t xml:space="preserve">acknowledge we </w:t>
            </w:r>
            <w:r>
              <w:rPr>
                <w:rFonts w:ascii="Verdana" w:hAnsi="Verdana" w:cs="Arial"/>
                <w:sz w:val="20"/>
                <w:szCs w:val="20"/>
              </w:rPr>
              <w:t xml:space="preserve">need to do more. Student networking, engaging with employers and </w:t>
            </w:r>
            <w:r w:rsidR="00CE1B26">
              <w:rPr>
                <w:rFonts w:ascii="Verdana" w:hAnsi="Verdana" w:cs="Arial"/>
                <w:sz w:val="20"/>
                <w:szCs w:val="20"/>
              </w:rPr>
              <w:t xml:space="preserve">with </w:t>
            </w:r>
            <w:r>
              <w:rPr>
                <w:rFonts w:ascii="Verdana" w:hAnsi="Verdana" w:cs="Arial"/>
                <w:sz w:val="20"/>
                <w:szCs w:val="20"/>
              </w:rPr>
              <w:t xml:space="preserve">members in the south of the region are areas for </w:t>
            </w:r>
            <w:r w:rsidR="00CE1B26">
              <w:rPr>
                <w:rFonts w:ascii="Verdana" w:hAnsi="Verdana" w:cs="Arial"/>
                <w:sz w:val="20"/>
                <w:szCs w:val="20"/>
              </w:rPr>
              <w:t xml:space="preserve">improvement.  A new event is </w:t>
            </w:r>
            <w:r w:rsidR="005B31DF">
              <w:rPr>
                <w:rFonts w:ascii="Verdana" w:hAnsi="Verdana" w:cs="Arial"/>
                <w:sz w:val="20"/>
                <w:szCs w:val="20"/>
              </w:rPr>
              <w:t xml:space="preserve">also </w:t>
            </w:r>
            <w:r w:rsidR="00CE1B26">
              <w:rPr>
                <w:rFonts w:ascii="Verdana" w:hAnsi="Verdana" w:cs="Arial"/>
                <w:sz w:val="20"/>
                <w:szCs w:val="20"/>
              </w:rPr>
              <w:t>being organised next year focusing on Women in Leadership.</w:t>
            </w:r>
          </w:p>
          <w:p w:rsidR="00CE1B26" w:rsidRDefault="00CE1B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E1B26" w:rsidRPr="00852BC8" w:rsidRDefault="00CE1B2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JS thanked JD for </w:t>
            </w:r>
            <w:r w:rsidR="00B35D2F">
              <w:rPr>
                <w:rFonts w:ascii="Verdana" w:hAnsi="Verdana" w:cs="Arial"/>
                <w:sz w:val="20"/>
                <w:szCs w:val="20"/>
              </w:rPr>
              <w:t xml:space="preserve">the support during the year while on maternity leave </w:t>
            </w:r>
            <w:proofErr w:type="gramStart"/>
            <w:r w:rsidR="00B35D2F">
              <w:rPr>
                <w:rFonts w:ascii="Verdana" w:hAnsi="Verdana" w:cs="Arial"/>
                <w:sz w:val="20"/>
                <w:szCs w:val="20"/>
              </w:rPr>
              <w:t>and also</w:t>
            </w:r>
            <w:proofErr w:type="gramEnd"/>
            <w:r w:rsidR="00B35D2F">
              <w:rPr>
                <w:rFonts w:ascii="Verdana" w:hAnsi="Verdana" w:cs="Arial"/>
                <w:sz w:val="20"/>
                <w:szCs w:val="20"/>
              </w:rPr>
              <w:t xml:space="preserve"> thanked AW for organising today’s event.</w:t>
            </w:r>
          </w:p>
          <w:p w:rsidR="008259BC" w:rsidRDefault="008259B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 w:rsidP="00CE273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Election of officers and </w:t>
            </w:r>
            <w:r w:rsidR="00A84972">
              <w:rPr>
                <w:rFonts w:ascii="Verdana" w:hAnsi="Verdana" w:cs="Arial"/>
                <w:b/>
                <w:sz w:val="20"/>
                <w:szCs w:val="20"/>
              </w:rPr>
              <w:t>membership o</w:t>
            </w:r>
            <w:r w:rsidR="00237B21">
              <w:rPr>
                <w:rFonts w:ascii="Verdana" w:hAnsi="Verdana" w:cs="Arial"/>
                <w:b/>
                <w:sz w:val="20"/>
                <w:szCs w:val="20"/>
              </w:rPr>
              <w:t>f the Executive 201</w:t>
            </w:r>
            <w:r w:rsidR="00F418EB">
              <w:rPr>
                <w:rFonts w:ascii="Verdana" w:hAnsi="Verdana" w:cs="Arial"/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3269" w:rsidRDefault="0089326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96E92" w:rsidRPr="00801178" w:rsidRDefault="001A46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1178">
              <w:rPr>
                <w:rFonts w:ascii="Verdana" w:hAnsi="Verdana" w:cs="Arial"/>
                <w:sz w:val="20"/>
                <w:szCs w:val="20"/>
              </w:rPr>
              <w:t>President: Judith Savage (</w:t>
            </w:r>
            <w:r w:rsidR="00801178" w:rsidRPr="00801178">
              <w:rPr>
                <w:rFonts w:ascii="Verdana" w:hAnsi="Verdana" w:cs="Arial"/>
                <w:sz w:val="20"/>
                <w:szCs w:val="20"/>
              </w:rPr>
              <w:t>to continue 2</w:t>
            </w:r>
            <w:r w:rsidR="00801178" w:rsidRPr="00801178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 w:rsidR="00801178" w:rsidRPr="00801178">
              <w:rPr>
                <w:rFonts w:ascii="Verdana" w:hAnsi="Verdana" w:cs="Arial"/>
                <w:sz w:val="20"/>
                <w:szCs w:val="20"/>
              </w:rPr>
              <w:t xml:space="preserve"> term of office</w:t>
            </w:r>
            <w:r w:rsidRPr="00801178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1A4687" w:rsidRPr="00801178" w:rsidRDefault="001A46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1178">
              <w:rPr>
                <w:rFonts w:ascii="Verdana" w:hAnsi="Verdana" w:cs="Arial"/>
                <w:sz w:val="20"/>
                <w:szCs w:val="20"/>
              </w:rPr>
              <w:t xml:space="preserve">Vice President: Jim Dafter </w:t>
            </w:r>
            <w:r w:rsidR="00801178" w:rsidRPr="00801178">
              <w:rPr>
                <w:rFonts w:ascii="Verdana" w:hAnsi="Verdana" w:cs="Arial"/>
                <w:sz w:val="20"/>
                <w:szCs w:val="20"/>
              </w:rPr>
              <w:t>(to continue 2</w:t>
            </w:r>
            <w:r w:rsidR="00801178" w:rsidRPr="00801178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 w:rsidR="00801178" w:rsidRPr="00801178">
              <w:rPr>
                <w:rFonts w:ascii="Verdana" w:hAnsi="Verdana" w:cs="Arial"/>
                <w:sz w:val="20"/>
                <w:szCs w:val="20"/>
              </w:rPr>
              <w:t xml:space="preserve"> term of office)</w:t>
            </w:r>
          </w:p>
          <w:p w:rsidR="00801178" w:rsidRPr="00801178" w:rsidRDefault="001A46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1178">
              <w:rPr>
                <w:rFonts w:ascii="Verdana" w:hAnsi="Verdana" w:cs="Arial"/>
                <w:sz w:val="20"/>
                <w:szCs w:val="20"/>
              </w:rPr>
              <w:t xml:space="preserve">Treasurer: Matt Calvert </w:t>
            </w:r>
          </w:p>
          <w:p w:rsidR="001A4687" w:rsidRPr="00801178" w:rsidRDefault="001A46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1178">
              <w:rPr>
                <w:rFonts w:ascii="Verdana" w:hAnsi="Verdana" w:cs="Arial"/>
                <w:sz w:val="20"/>
                <w:szCs w:val="20"/>
              </w:rPr>
              <w:t xml:space="preserve">Secretary: </w:t>
            </w:r>
            <w:r w:rsidR="00801178" w:rsidRPr="00801178">
              <w:rPr>
                <w:rFonts w:ascii="Verdana" w:hAnsi="Verdana" w:cs="Arial"/>
                <w:sz w:val="20"/>
                <w:szCs w:val="20"/>
              </w:rPr>
              <w:t>James Charlton</w:t>
            </w:r>
            <w:r w:rsidRPr="00801178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801178" w:rsidRPr="00801178">
              <w:rPr>
                <w:rFonts w:ascii="Verdana" w:hAnsi="Verdana" w:cs="Arial"/>
                <w:sz w:val="20"/>
                <w:szCs w:val="20"/>
              </w:rPr>
              <w:t>acting)</w:t>
            </w:r>
          </w:p>
          <w:p w:rsidR="001A4687" w:rsidRPr="00801178" w:rsidRDefault="001A46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1178">
              <w:rPr>
                <w:rFonts w:ascii="Verdana" w:hAnsi="Verdana" w:cs="Arial"/>
                <w:sz w:val="20"/>
                <w:szCs w:val="20"/>
              </w:rPr>
              <w:t>Website and Social Me</w:t>
            </w:r>
            <w:r w:rsidR="00801178" w:rsidRPr="00801178">
              <w:rPr>
                <w:rFonts w:ascii="Verdana" w:hAnsi="Verdana" w:cs="Arial"/>
                <w:sz w:val="20"/>
                <w:szCs w:val="20"/>
              </w:rPr>
              <w:t>dia Coordinator: Peter Sullivan</w:t>
            </w:r>
          </w:p>
          <w:p w:rsidR="001A4687" w:rsidRPr="00801178" w:rsidRDefault="001A468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C478F" w:rsidRPr="00893269" w:rsidRDefault="003C478F" w:rsidP="008011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1178">
              <w:rPr>
                <w:rFonts w:ascii="Verdana" w:hAnsi="Verdana" w:cs="Arial"/>
                <w:sz w:val="20"/>
                <w:szCs w:val="20"/>
              </w:rPr>
              <w:t>Other members to continue as previous year</w:t>
            </w:r>
            <w:r w:rsidR="00B35D2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9BC" w:rsidRDefault="008259B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32AC" w:rsidTr="006C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AC" w:rsidRDefault="00881BE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</w:t>
            </w:r>
          </w:p>
        </w:tc>
        <w:tc>
          <w:tcPr>
            <w:tcW w:w="9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AC" w:rsidRDefault="00B96D2F">
            <w:pPr>
              <w:rPr>
                <w:rFonts w:ascii="Verdana" w:hAnsi="Verdana" w:cs="Arial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GB"/>
              </w:rPr>
              <w:t>Any other business</w:t>
            </w:r>
          </w:p>
          <w:p w:rsidR="001A4687" w:rsidRDefault="001A4687">
            <w:pPr>
              <w:rPr>
                <w:rFonts w:ascii="Verdana" w:hAnsi="Verdana" w:cs="Arial"/>
                <w:b/>
                <w:sz w:val="20"/>
                <w:szCs w:val="20"/>
                <w:lang w:eastAsia="en-GB"/>
              </w:rPr>
            </w:pPr>
          </w:p>
          <w:p w:rsidR="001A4687" w:rsidRDefault="00D6139E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sz w:val="20"/>
                <w:szCs w:val="20"/>
                <w:lang w:eastAsia="en-GB"/>
              </w:rPr>
              <w:t>Drew Cullen, Director of Public Affairs at CIPFA, g</w:t>
            </w:r>
            <w:r w:rsidR="00B35D2F">
              <w:rPr>
                <w:rFonts w:ascii="Verdana" w:hAnsi="Verdana" w:cs="Arial"/>
                <w:sz w:val="20"/>
                <w:szCs w:val="20"/>
                <w:lang w:eastAsia="en-GB"/>
              </w:rPr>
              <w:t>a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>ve an update from CIPFA council and the unpublished annual accounts</w:t>
            </w:r>
            <w:r w:rsidR="00801178">
              <w:rPr>
                <w:rFonts w:ascii="Verdana" w:hAnsi="Verdana" w:cs="Arial"/>
                <w:sz w:val="20"/>
                <w:szCs w:val="20"/>
                <w:lang w:eastAsia="en-GB"/>
              </w:rPr>
              <w:t>,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</w:t>
            </w:r>
            <w:r w:rsidR="005B31DF">
              <w:rPr>
                <w:rFonts w:ascii="Verdana" w:hAnsi="Verdana" w:cs="Arial"/>
                <w:sz w:val="20"/>
                <w:szCs w:val="20"/>
                <w:lang w:eastAsia="en-GB"/>
              </w:rPr>
              <w:t>but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due to commercial sensitivity </w:t>
            </w:r>
            <w:r w:rsidR="00B35D2F">
              <w:rPr>
                <w:rFonts w:ascii="Verdana" w:hAnsi="Verdana" w:cs="Arial"/>
                <w:sz w:val="20"/>
                <w:szCs w:val="20"/>
                <w:lang w:eastAsia="en-GB"/>
              </w:rPr>
              <w:t>ha</w:t>
            </w:r>
            <w:r w:rsidR="00B10F69">
              <w:rPr>
                <w:rFonts w:ascii="Verdana" w:hAnsi="Verdana" w:cs="Arial"/>
                <w:sz w:val="20"/>
                <w:szCs w:val="20"/>
                <w:lang w:eastAsia="en-GB"/>
              </w:rPr>
              <w:t>s</w:t>
            </w:r>
            <w:r w:rsidR="00B35D2F"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not been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disclosed in these minutes.</w:t>
            </w:r>
          </w:p>
          <w:p w:rsidR="00D6139E" w:rsidRDefault="00D6139E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  <w:p w:rsidR="00D6139E" w:rsidRDefault="00D6139E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sz w:val="20"/>
                <w:szCs w:val="20"/>
                <w:lang w:eastAsia="en-GB"/>
              </w:rPr>
              <w:t>Task</w:t>
            </w:r>
            <w:r w:rsidR="007A6325"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&amp; Finish groups </w:t>
            </w:r>
            <w:r w:rsidR="00B35D2F">
              <w:rPr>
                <w:rFonts w:ascii="Verdana" w:hAnsi="Verdana" w:cs="Arial"/>
                <w:sz w:val="20"/>
                <w:szCs w:val="20"/>
                <w:lang w:eastAsia="en-GB"/>
              </w:rPr>
              <w:t>have been established to look at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Performanc</w:t>
            </w:r>
            <w:r w:rsidR="007A6325">
              <w:rPr>
                <w:rFonts w:ascii="Verdana" w:hAnsi="Verdana" w:cs="Arial"/>
                <w:sz w:val="20"/>
                <w:szCs w:val="20"/>
                <w:lang w:eastAsia="en-GB"/>
              </w:rPr>
              <w:t>e &amp; Financial Management and the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‘Member Offer’</w:t>
            </w:r>
            <w:r w:rsidR="00B35D2F">
              <w:rPr>
                <w:rFonts w:ascii="Verdana" w:hAnsi="Verdana" w:cs="Arial"/>
                <w:sz w:val="20"/>
                <w:szCs w:val="20"/>
                <w:lang w:eastAsia="en-GB"/>
              </w:rPr>
              <w:t>,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chaired </w:t>
            </w:r>
            <w:r w:rsidR="007A6325">
              <w:rPr>
                <w:rFonts w:ascii="Verdana" w:hAnsi="Verdana" w:cs="Arial"/>
                <w:sz w:val="20"/>
                <w:szCs w:val="20"/>
                <w:lang w:eastAsia="en-GB"/>
              </w:rPr>
              <w:t>by past president Brian Roberts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>.</w:t>
            </w:r>
          </w:p>
          <w:p w:rsidR="00B10F69" w:rsidRDefault="00B10F69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  <w:p w:rsidR="00B10F69" w:rsidRDefault="00B10F69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sz w:val="20"/>
                <w:szCs w:val="20"/>
                <w:lang w:eastAsia="en-GB"/>
              </w:rPr>
              <w:t>The London Counter Fraud Hub is underway, analysing data across 4 London Boroughs with 16 more due to come on board.</w:t>
            </w:r>
          </w:p>
          <w:p w:rsidR="008259BC" w:rsidRDefault="008259BC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  <w:p w:rsidR="008259BC" w:rsidRDefault="00B10F69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sz w:val="20"/>
                <w:szCs w:val="20"/>
                <w:lang w:eastAsia="en-GB"/>
              </w:rPr>
              <w:t>GDPR comes into effect from May 2018 and CIPFA are currently updating their policies to align with these new requirements.</w:t>
            </w:r>
          </w:p>
          <w:p w:rsidR="008259BC" w:rsidRDefault="008259BC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  <w:p w:rsidR="006D4D10" w:rsidRDefault="006D4D10" w:rsidP="006D4D10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sz w:val="20"/>
                <w:szCs w:val="20"/>
                <w:lang w:eastAsia="en-GB"/>
              </w:rPr>
              <w:t>Don Peebles has been appointed the new Head of Policy and Technical at CIPFA</w:t>
            </w:r>
            <w:r w:rsidR="005B31DF">
              <w:rPr>
                <w:rFonts w:ascii="Verdana" w:hAnsi="Verdana" w:cs="Arial"/>
                <w:sz w:val="20"/>
                <w:szCs w:val="20"/>
                <w:lang w:eastAsia="en-GB"/>
              </w:rPr>
              <w:t>,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lead</w:t>
            </w:r>
            <w:r w:rsidR="005B31DF">
              <w:rPr>
                <w:rFonts w:ascii="Verdana" w:hAnsi="Verdana" w:cs="Arial"/>
                <w:sz w:val="20"/>
                <w:szCs w:val="20"/>
                <w:lang w:eastAsia="en-GB"/>
              </w:rPr>
              <w:t>ing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a team of 9 people and it is hoped th</w:t>
            </w:r>
            <w:r w:rsidR="005B31DF">
              <w:rPr>
                <w:rFonts w:ascii="Verdana" w:hAnsi="Verdana" w:cs="Arial"/>
                <w:sz w:val="20"/>
                <w:szCs w:val="20"/>
                <w:lang w:eastAsia="en-GB"/>
              </w:rPr>
              <w:t>is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restructuring will </w:t>
            </w:r>
            <w:r w:rsidR="005B31DF">
              <w:rPr>
                <w:rFonts w:ascii="Verdana" w:hAnsi="Verdana" w:cs="Arial"/>
                <w:sz w:val="20"/>
                <w:szCs w:val="20"/>
                <w:lang w:eastAsia="en-GB"/>
              </w:rPr>
              <w:t>result in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better alignment of working with all areas of the public sector.  TW asked how regions can access the Policy &amp; Technical resources for regional events, i.e. do we need to approach CIPFA or </w:t>
            </w:r>
            <w:r w:rsidR="005B31DF">
              <w:rPr>
                <w:rFonts w:ascii="Verdana" w:hAnsi="Verdana" w:cs="Arial"/>
                <w:sz w:val="20"/>
                <w:szCs w:val="20"/>
                <w:lang w:eastAsia="en-GB"/>
              </w:rPr>
              <w:t>can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we be informed of topical events that we may wish to run for our members?  DC responded that a designated member of the team would be allocated to support the region in this regard. </w:t>
            </w:r>
          </w:p>
          <w:p w:rsidR="008259BC" w:rsidRDefault="008259BC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  <w:p w:rsidR="008259BC" w:rsidRDefault="006D4D10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JD closed the meeting and thanked </w:t>
            </w:r>
            <w:r w:rsidR="005B31DF">
              <w:rPr>
                <w:rFonts w:ascii="Verdana" w:hAnsi="Verdana" w:cs="Arial"/>
                <w:sz w:val="20"/>
                <w:szCs w:val="20"/>
                <w:lang w:eastAsia="en-GB"/>
              </w:rPr>
              <w:t>everyone</w:t>
            </w:r>
            <w:r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for coming.</w:t>
            </w:r>
          </w:p>
          <w:p w:rsidR="008259BC" w:rsidRPr="001A4687" w:rsidRDefault="008259BC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  <w:p w:rsidR="003C478F" w:rsidRPr="00B96D2F" w:rsidRDefault="003C478F" w:rsidP="00F96E92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AC" w:rsidRDefault="008132AC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8132AC" w:rsidRDefault="008132AC">
      <w:pPr>
        <w:tabs>
          <w:tab w:val="left" w:pos="2268"/>
          <w:tab w:val="left" w:pos="5103"/>
        </w:tabs>
        <w:rPr>
          <w:lang w:eastAsia="en-GB"/>
        </w:rPr>
      </w:pPr>
    </w:p>
    <w:sectPr w:rsidR="008132A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93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15B" w:rsidRDefault="004F715B">
      <w:r>
        <w:separator/>
      </w:r>
    </w:p>
  </w:endnote>
  <w:endnote w:type="continuationSeparator" w:id="0">
    <w:p w:rsidR="004F715B" w:rsidRDefault="004F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86" w:rsidRDefault="001C1B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B86" w:rsidRDefault="001C1B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86" w:rsidRDefault="001C1B86">
    <w:pPr>
      <w:pStyle w:val="Footer"/>
      <w:tabs>
        <w:tab w:val="center" w:pos="4500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en-US"/>
      </w:rPr>
      <w:t xml:space="preserve">Page </w:t>
    </w:r>
    <w:r>
      <w:rPr>
        <w:rFonts w:ascii="Verdana" w:hAnsi="Verdana"/>
        <w:sz w:val="16"/>
        <w:szCs w:val="16"/>
        <w:lang w:val="en-US"/>
      </w:rPr>
      <w:fldChar w:fldCharType="begin"/>
    </w:r>
    <w:r>
      <w:rPr>
        <w:rFonts w:ascii="Verdana" w:hAnsi="Verdana"/>
        <w:sz w:val="16"/>
        <w:szCs w:val="16"/>
        <w:lang w:val="en-US"/>
      </w:rPr>
      <w:instrText xml:space="preserve"> PAGE </w:instrText>
    </w:r>
    <w:r>
      <w:rPr>
        <w:rFonts w:ascii="Verdana" w:hAnsi="Verdana"/>
        <w:sz w:val="16"/>
        <w:szCs w:val="16"/>
        <w:lang w:val="en-US"/>
      </w:rPr>
      <w:fldChar w:fldCharType="separate"/>
    </w:r>
    <w:r w:rsidR="003856D8">
      <w:rPr>
        <w:rFonts w:ascii="Verdana" w:hAnsi="Verdana"/>
        <w:noProof/>
        <w:sz w:val="16"/>
        <w:szCs w:val="16"/>
        <w:lang w:val="en-US"/>
      </w:rPr>
      <w:t>3</w:t>
    </w:r>
    <w:r>
      <w:rPr>
        <w:rFonts w:ascii="Verdana" w:hAnsi="Verdana"/>
        <w:sz w:val="16"/>
        <w:szCs w:val="16"/>
        <w:lang w:val="en-US"/>
      </w:rPr>
      <w:fldChar w:fldCharType="end"/>
    </w:r>
    <w:r>
      <w:rPr>
        <w:rFonts w:ascii="Verdana" w:hAnsi="Verdana"/>
        <w:sz w:val="16"/>
        <w:szCs w:val="16"/>
        <w:lang w:val="en-US"/>
      </w:rPr>
      <w:t xml:space="preserve"> of </w:t>
    </w:r>
    <w:r>
      <w:rPr>
        <w:rFonts w:ascii="Verdana" w:hAnsi="Verdana"/>
        <w:sz w:val="16"/>
        <w:szCs w:val="16"/>
        <w:lang w:val="en-US"/>
      </w:rPr>
      <w:fldChar w:fldCharType="begin"/>
    </w:r>
    <w:r>
      <w:rPr>
        <w:rFonts w:ascii="Verdana" w:hAnsi="Verdana"/>
        <w:sz w:val="16"/>
        <w:szCs w:val="16"/>
        <w:lang w:val="en-US"/>
      </w:rPr>
      <w:instrText xml:space="preserve"> NUMPAGES  </w:instrText>
    </w:r>
    <w:r>
      <w:rPr>
        <w:rFonts w:ascii="Verdana" w:hAnsi="Verdana"/>
        <w:sz w:val="16"/>
        <w:szCs w:val="16"/>
        <w:lang w:val="en-US"/>
      </w:rPr>
      <w:fldChar w:fldCharType="separate"/>
    </w:r>
    <w:r w:rsidR="003856D8">
      <w:rPr>
        <w:rFonts w:ascii="Verdana" w:hAnsi="Verdana"/>
        <w:noProof/>
        <w:sz w:val="16"/>
        <w:szCs w:val="16"/>
        <w:lang w:val="en-US"/>
      </w:rPr>
      <w:t>3</w:t>
    </w:r>
    <w:r>
      <w:rPr>
        <w:rFonts w:ascii="Verdana" w:hAnsi="Verdan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86" w:rsidRDefault="001C1B86">
    <w:pPr>
      <w:pStyle w:val="Footer"/>
      <w:tabs>
        <w:tab w:val="center" w:pos="4500"/>
      </w:tabs>
      <w:jc w:val="right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Page </w:t>
    </w:r>
    <w:r>
      <w:rPr>
        <w:rFonts w:ascii="Verdana" w:hAnsi="Verdana"/>
        <w:sz w:val="16"/>
        <w:szCs w:val="16"/>
        <w:lang w:val="en-US"/>
      </w:rPr>
      <w:fldChar w:fldCharType="begin"/>
    </w:r>
    <w:r>
      <w:rPr>
        <w:rFonts w:ascii="Verdana" w:hAnsi="Verdana"/>
        <w:sz w:val="16"/>
        <w:szCs w:val="16"/>
        <w:lang w:val="en-US"/>
      </w:rPr>
      <w:instrText xml:space="preserve"> PAGE </w:instrText>
    </w:r>
    <w:r>
      <w:rPr>
        <w:rFonts w:ascii="Verdana" w:hAnsi="Verdana"/>
        <w:sz w:val="16"/>
        <w:szCs w:val="16"/>
        <w:lang w:val="en-US"/>
      </w:rPr>
      <w:fldChar w:fldCharType="separate"/>
    </w:r>
    <w:r w:rsidR="003856D8">
      <w:rPr>
        <w:rFonts w:ascii="Verdana" w:hAnsi="Verdana"/>
        <w:noProof/>
        <w:sz w:val="16"/>
        <w:szCs w:val="16"/>
        <w:lang w:val="en-US"/>
      </w:rPr>
      <w:t>1</w:t>
    </w:r>
    <w:r>
      <w:rPr>
        <w:rFonts w:ascii="Verdana" w:hAnsi="Verdana"/>
        <w:sz w:val="16"/>
        <w:szCs w:val="16"/>
        <w:lang w:val="en-US"/>
      </w:rPr>
      <w:fldChar w:fldCharType="end"/>
    </w:r>
    <w:r>
      <w:rPr>
        <w:rFonts w:ascii="Verdana" w:hAnsi="Verdana"/>
        <w:sz w:val="16"/>
        <w:szCs w:val="16"/>
        <w:lang w:val="en-US"/>
      </w:rPr>
      <w:t xml:space="preserve"> of </w:t>
    </w:r>
    <w:r>
      <w:rPr>
        <w:rFonts w:ascii="Verdana" w:hAnsi="Verdana"/>
        <w:sz w:val="16"/>
        <w:szCs w:val="16"/>
        <w:lang w:val="en-US"/>
      </w:rPr>
      <w:fldChar w:fldCharType="begin"/>
    </w:r>
    <w:r>
      <w:rPr>
        <w:rFonts w:ascii="Verdana" w:hAnsi="Verdana"/>
        <w:sz w:val="16"/>
        <w:szCs w:val="16"/>
        <w:lang w:val="en-US"/>
      </w:rPr>
      <w:instrText xml:space="preserve"> NUMPAGES  </w:instrText>
    </w:r>
    <w:r>
      <w:rPr>
        <w:rFonts w:ascii="Verdana" w:hAnsi="Verdana"/>
        <w:sz w:val="16"/>
        <w:szCs w:val="16"/>
        <w:lang w:val="en-US"/>
      </w:rPr>
      <w:fldChar w:fldCharType="separate"/>
    </w:r>
    <w:r w:rsidR="003856D8">
      <w:rPr>
        <w:rFonts w:ascii="Verdana" w:hAnsi="Verdana"/>
        <w:noProof/>
        <w:sz w:val="16"/>
        <w:szCs w:val="16"/>
        <w:lang w:val="en-US"/>
      </w:rPr>
      <w:t>3</w:t>
    </w:r>
    <w:r>
      <w:rPr>
        <w:rFonts w:ascii="Verdana" w:hAnsi="Verdan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15B" w:rsidRDefault="004F715B">
      <w:r>
        <w:separator/>
      </w:r>
    </w:p>
  </w:footnote>
  <w:footnote w:type="continuationSeparator" w:id="0">
    <w:p w:rsidR="004F715B" w:rsidRDefault="004F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86" w:rsidRDefault="00093253">
    <w:pPr>
      <w:pStyle w:val="Header"/>
      <w:tabs>
        <w:tab w:val="clear" w:pos="4153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-608330</wp:posOffset>
          </wp:positionV>
          <wp:extent cx="7602220" cy="1257300"/>
          <wp:effectExtent l="0" t="0" r="0" b="0"/>
          <wp:wrapNone/>
          <wp:docPr id="5" name="Picture 5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033"/>
    <w:multiLevelType w:val="hybridMultilevel"/>
    <w:tmpl w:val="F3B0405C"/>
    <w:lvl w:ilvl="0" w:tplc="77F6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421"/>
    <w:multiLevelType w:val="multilevel"/>
    <w:tmpl w:val="FE0CCDAA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40C1"/>
    <w:multiLevelType w:val="hybridMultilevel"/>
    <w:tmpl w:val="EE4A5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A30CB"/>
    <w:multiLevelType w:val="hybridMultilevel"/>
    <w:tmpl w:val="1B2A61EC"/>
    <w:lvl w:ilvl="0" w:tplc="77F6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0D0F"/>
    <w:multiLevelType w:val="hybridMultilevel"/>
    <w:tmpl w:val="E47AB1DC"/>
    <w:lvl w:ilvl="0" w:tplc="EE14161C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A287D"/>
    <w:multiLevelType w:val="hybridMultilevel"/>
    <w:tmpl w:val="14601D92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20115950"/>
    <w:multiLevelType w:val="hybridMultilevel"/>
    <w:tmpl w:val="547A45E2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326"/>
    <w:multiLevelType w:val="hybridMultilevel"/>
    <w:tmpl w:val="A474A4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4BB1"/>
    <w:multiLevelType w:val="hybridMultilevel"/>
    <w:tmpl w:val="F1BC7A6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65A5"/>
    <w:multiLevelType w:val="hybridMultilevel"/>
    <w:tmpl w:val="85B866D6"/>
    <w:lvl w:ilvl="0" w:tplc="5D3A015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DE02E2"/>
    <w:multiLevelType w:val="hybridMultilevel"/>
    <w:tmpl w:val="7D6ADC4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7762"/>
    <w:multiLevelType w:val="hybridMultilevel"/>
    <w:tmpl w:val="37D095C4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B5A4F"/>
    <w:multiLevelType w:val="hybridMultilevel"/>
    <w:tmpl w:val="C75CB37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5CBE"/>
    <w:multiLevelType w:val="hybridMultilevel"/>
    <w:tmpl w:val="62F4A620"/>
    <w:lvl w:ilvl="0" w:tplc="77F6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4A28"/>
    <w:multiLevelType w:val="hybridMultilevel"/>
    <w:tmpl w:val="589A96AE"/>
    <w:lvl w:ilvl="0" w:tplc="77F6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E13B3"/>
    <w:multiLevelType w:val="hybridMultilevel"/>
    <w:tmpl w:val="A24CD17A"/>
    <w:lvl w:ilvl="0" w:tplc="CD224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75B8"/>
    <w:multiLevelType w:val="hybridMultilevel"/>
    <w:tmpl w:val="AA0C1B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E0D0E"/>
    <w:multiLevelType w:val="hybridMultilevel"/>
    <w:tmpl w:val="1E46DDB4"/>
    <w:lvl w:ilvl="0" w:tplc="EDEAED24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652"/>
    <w:multiLevelType w:val="hybridMultilevel"/>
    <w:tmpl w:val="11A6541C"/>
    <w:lvl w:ilvl="0" w:tplc="7F2080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B28DE"/>
    <w:multiLevelType w:val="hybridMultilevel"/>
    <w:tmpl w:val="F43AE5CA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71DEF"/>
    <w:multiLevelType w:val="hybridMultilevel"/>
    <w:tmpl w:val="1C621BCC"/>
    <w:lvl w:ilvl="0" w:tplc="77F6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15C84"/>
    <w:multiLevelType w:val="hybridMultilevel"/>
    <w:tmpl w:val="14D0EB48"/>
    <w:lvl w:ilvl="0" w:tplc="7DD6FB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0751C"/>
    <w:multiLevelType w:val="multilevel"/>
    <w:tmpl w:val="85B866D6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20BAD"/>
    <w:multiLevelType w:val="hybridMultilevel"/>
    <w:tmpl w:val="60C021E8"/>
    <w:lvl w:ilvl="0" w:tplc="77F6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C14D1"/>
    <w:multiLevelType w:val="hybridMultilevel"/>
    <w:tmpl w:val="2B1ADBF2"/>
    <w:lvl w:ilvl="0" w:tplc="6D8867DE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E0A94"/>
    <w:multiLevelType w:val="hybridMultilevel"/>
    <w:tmpl w:val="E974C944"/>
    <w:lvl w:ilvl="0" w:tplc="77F6B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47947"/>
    <w:multiLevelType w:val="hybridMultilevel"/>
    <w:tmpl w:val="FE0CCDAA"/>
    <w:lvl w:ilvl="0" w:tplc="A1B6369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9C318D"/>
    <w:multiLevelType w:val="hybridMultilevel"/>
    <w:tmpl w:val="26B0A4DC"/>
    <w:lvl w:ilvl="0" w:tplc="2820C2C2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CD8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FA616E"/>
    <w:multiLevelType w:val="hybridMultilevel"/>
    <w:tmpl w:val="16B0AA7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A5EF2"/>
    <w:multiLevelType w:val="hybridMultilevel"/>
    <w:tmpl w:val="7D48C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0"/>
  </w:num>
  <w:num w:numId="5">
    <w:abstractNumId w:val="27"/>
  </w:num>
  <w:num w:numId="6">
    <w:abstractNumId w:val="28"/>
  </w:num>
  <w:num w:numId="7">
    <w:abstractNumId w:val="19"/>
  </w:num>
  <w:num w:numId="8">
    <w:abstractNumId w:val="6"/>
  </w:num>
  <w:num w:numId="9">
    <w:abstractNumId w:val="12"/>
  </w:num>
  <w:num w:numId="10">
    <w:abstractNumId w:val="9"/>
  </w:num>
  <w:num w:numId="11">
    <w:abstractNumId w:val="22"/>
  </w:num>
  <w:num w:numId="12">
    <w:abstractNumId w:val="26"/>
  </w:num>
  <w:num w:numId="13">
    <w:abstractNumId w:val="1"/>
  </w:num>
  <w:num w:numId="14">
    <w:abstractNumId w:val="17"/>
  </w:num>
  <w:num w:numId="15">
    <w:abstractNumId w:val="4"/>
  </w:num>
  <w:num w:numId="16">
    <w:abstractNumId w:val="24"/>
  </w:num>
  <w:num w:numId="17">
    <w:abstractNumId w:val="25"/>
  </w:num>
  <w:num w:numId="18">
    <w:abstractNumId w:val="7"/>
  </w:num>
  <w:num w:numId="19">
    <w:abstractNumId w:val="3"/>
  </w:num>
  <w:num w:numId="20">
    <w:abstractNumId w:val="14"/>
  </w:num>
  <w:num w:numId="21">
    <w:abstractNumId w:val="20"/>
  </w:num>
  <w:num w:numId="22">
    <w:abstractNumId w:val="16"/>
  </w:num>
  <w:num w:numId="23">
    <w:abstractNumId w:val="5"/>
  </w:num>
  <w:num w:numId="24">
    <w:abstractNumId w:val="23"/>
  </w:num>
  <w:num w:numId="25">
    <w:abstractNumId w:val="13"/>
  </w:num>
  <w:num w:numId="26">
    <w:abstractNumId w:val="18"/>
  </w:num>
  <w:num w:numId="27">
    <w:abstractNumId w:val="0"/>
  </w:num>
  <w:num w:numId="28">
    <w:abstractNumId w:val="29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72"/>
    <w:rsid w:val="0000695F"/>
    <w:rsid w:val="00060726"/>
    <w:rsid w:val="00067C5B"/>
    <w:rsid w:val="00087EC9"/>
    <w:rsid w:val="00093253"/>
    <w:rsid w:val="00093A2B"/>
    <w:rsid w:val="00095848"/>
    <w:rsid w:val="000B061D"/>
    <w:rsid w:val="000B36FB"/>
    <w:rsid w:val="00127CA2"/>
    <w:rsid w:val="00160572"/>
    <w:rsid w:val="001A4687"/>
    <w:rsid w:val="001C1B86"/>
    <w:rsid w:val="001C6975"/>
    <w:rsid w:val="001E0073"/>
    <w:rsid w:val="001E357B"/>
    <w:rsid w:val="001E7732"/>
    <w:rsid w:val="001F5A5A"/>
    <w:rsid w:val="0022626F"/>
    <w:rsid w:val="00237B21"/>
    <w:rsid w:val="00242719"/>
    <w:rsid w:val="00247829"/>
    <w:rsid w:val="00265213"/>
    <w:rsid w:val="00271771"/>
    <w:rsid w:val="002C19B1"/>
    <w:rsid w:val="002C3202"/>
    <w:rsid w:val="002E72ED"/>
    <w:rsid w:val="002F29B2"/>
    <w:rsid w:val="00310E70"/>
    <w:rsid w:val="003856D8"/>
    <w:rsid w:val="00385A22"/>
    <w:rsid w:val="003C362D"/>
    <w:rsid w:val="003C478F"/>
    <w:rsid w:val="003E095C"/>
    <w:rsid w:val="00413516"/>
    <w:rsid w:val="0044777B"/>
    <w:rsid w:val="00451ECB"/>
    <w:rsid w:val="004A3FFC"/>
    <w:rsid w:val="004C0E90"/>
    <w:rsid w:val="004F715B"/>
    <w:rsid w:val="0050361D"/>
    <w:rsid w:val="005363FF"/>
    <w:rsid w:val="005631DB"/>
    <w:rsid w:val="00570769"/>
    <w:rsid w:val="00592213"/>
    <w:rsid w:val="005A6F42"/>
    <w:rsid w:val="005B22DB"/>
    <w:rsid w:val="005B3122"/>
    <w:rsid w:val="005B31DF"/>
    <w:rsid w:val="005D2FF4"/>
    <w:rsid w:val="005F1C0D"/>
    <w:rsid w:val="00644D12"/>
    <w:rsid w:val="0065283A"/>
    <w:rsid w:val="006612F4"/>
    <w:rsid w:val="006C4A13"/>
    <w:rsid w:val="006D4D10"/>
    <w:rsid w:val="006E6AE7"/>
    <w:rsid w:val="00785BB7"/>
    <w:rsid w:val="007A586B"/>
    <w:rsid w:val="007A6325"/>
    <w:rsid w:val="007B570B"/>
    <w:rsid w:val="00801116"/>
    <w:rsid w:val="00801178"/>
    <w:rsid w:val="008132AC"/>
    <w:rsid w:val="00822EFA"/>
    <w:rsid w:val="008259BC"/>
    <w:rsid w:val="00852BC8"/>
    <w:rsid w:val="00876874"/>
    <w:rsid w:val="00881BE3"/>
    <w:rsid w:val="00893269"/>
    <w:rsid w:val="008B5777"/>
    <w:rsid w:val="008B5DA8"/>
    <w:rsid w:val="008F06A7"/>
    <w:rsid w:val="008F0E51"/>
    <w:rsid w:val="009152B5"/>
    <w:rsid w:val="009423D8"/>
    <w:rsid w:val="009817BD"/>
    <w:rsid w:val="00990DA7"/>
    <w:rsid w:val="009C7778"/>
    <w:rsid w:val="009F4773"/>
    <w:rsid w:val="009F580A"/>
    <w:rsid w:val="00A02E70"/>
    <w:rsid w:val="00A1197A"/>
    <w:rsid w:val="00A5707C"/>
    <w:rsid w:val="00A84972"/>
    <w:rsid w:val="00AC1F50"/>
    <w:rsid w:val="00AC39AF"/>
    <w:rsid w:val="00AC73C6"/>
    <w:rsid w:val="00AE4225"/>
    <w:rsid w:val="00B10F69"/>
    <w:rsid w:val="00B35D2F"/>
    <w:rsid w:val="00B935A7"/>
    <w:rsid w:val="00B96D2F"/>
    <w:rsid w:val="00BB2ED5"/>
    <w:rsid w:val="00C115C4"/>
    <w:rsid w:val="00C72735"/>
    <w:rsid w:val="00CC4C47"/>
    <w:rsid w:val="00CE1B26"/>
    <w:rsid w:val="00CE273D"/>
    <w:rsid w:val="00D16127"/>
    <w:rsid w:val="00D6139E"/>
    <w:rsid w:val="00D72E7B"/>
    <w:rsid w:val="00D76D17"/>
    <w:rsid w:val="00D77545"/>
    <w:rsid w:val="00D92597"/>
    <w:rsid w:val="00DA3587"/>
    <w:rsid w:val="00DC31EC"/>
    <w:rsid w:val="00DC6B64"/>
    <w:rsid w:val="00DE51F3"/>
    <w:rsid w:val="00E25779"/>
    <w:rsid w:val="00E9584D"/>
    <w:rsid w:val="00EC53D7"/>
    <w:rsid w:val="00EC670B"/>
    <w:rsid w:val="00EE3E49"/>
    <w:rsid w:val="00EE4DDD"/>
    <w:rsid w:val="00EF3ADC"/>
    <w:rsid w:val="00F27714"/>
    <w:rsid w:val="00F418EB"/>
    <w:rsid w:val="00F446F4"/>
    <w:rsid w:val="00F952B8"/>
    <w:rsid w:val="00F96433"/>
    <w:rsid w:val="00F96E92"/>
    <w:rsid w:val="00FA5E82"/>
    <w:rsid w:val="00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FE7718B"/>
  <w15:chartTrackingRefBased/>
  <w15:docId w15:val="{DA1F8CCA-F227-43A5-8669-D999A39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aliases w:val="f"/>
    <w:basedOn w:val="Normal"/>
    <w:semiHidden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pPr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-clark\Local%20Settings\Temp\wz29e0\REGIONS%20TOOLKIT\REBRAND%20REGION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 REGION AGENDA</Template>
  <TotalTime>367</TotalTime>
  <Pages>3</Pages>
  <Words>806</Words>
  <Characters>4228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CIPFA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Charlton, James</dc:creator>
  <cp:keywords/>
  <cp:lastModifiedBy>Charlton, James</cp:lastModifiedBy>
  <cp:revision>13</cp:revision>
  <cp:lastPrinted>2011-03-08T15:45:00Z</cp:lastPrinted>
  <dcterms:created xsi:type="dcterms:W3CDTF">2018-03-12T09:43:00Z</dcterms:created>
  <dcterms:modified xsi:type="dcterms:W3CDTF">2019-03-01T12:38:00Z</dcterms:modified>
</cp:coreProperties>
</file>