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E438D" w14:textId="77777777" w:rsidR="006F783A" w:rsidRDefault="006F783A" w:rsidP="006F783A">
      <w:pPr>
        <w:jc w:val="right"/>
        <w:rPr>
          <w:rFonts w:ascii="DIN-Medium" w:hAnsi="DIN-Medium"/>
          <w:b/>
        </w:rPr>
      </w:pPr>
      <w:bookmarkStart w:id="0" w:name="_GoBack"/>
      <w:bookmarkEnd w:id="0"/>
    </w:p>
    <w:p w14:paraId="036264CC" w14:textId="77777777" w:rsidR="006F783A" w:rsidRDefault="006F783A" w:rsidP="006F783A">
      <w:pPr>
        <w:jc w:val="both"/>
        <w:rPr>
          <w:rFonts w:ascii="DIN-Medium" w:hAnsi="DIN-Medium"/>
          <w:b/>
          <w:sz w:val="50"/>
        </w:rPr>
      </w:pPr>
    </w:p>
    <w:p w14:paraId="70C1A126" w14:textId="77777777" w:rsidR="006F783A" w:rsidRDefault="006F783A" w:rsidP="006F783A">
      <w:pPr>
        <w:jc w:val="center"/>
      </w:pPr>
      <w:r>
        <w:object w:dxaOrig="7125" w:dyaOrig="3060" w14:anchorId="64438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80.25pt" o:ole="">
            <v:imagedata r:id="rId13" o:title=""/>
          </v:shape>
          <o:OLEObject Type="Embed" ProgID="PBrush" ShapeID="_x0000_i1025" DrawAspect="Content" ObjectID="_1668320966" r:id="rId14"/>
        </w:object>
      </w:r>
    </w:p>
    <w:p w14:paraId="5847355D" w14:textId="77777777" w:rsidR="006F783A" w:rsidRDefault="006F783A" w:rsidP="006F783A">
      <w:pPr>
        <w:jc w:val="both"/>
      </w:pPr>
    </w:p>
    <w:p w14:paraId="3ED725C0" w14:textId="77777777" w:rsidR="006F783A" w:rsidRDefault="006F783A" w:rsidP="006F783A">
      <w:pPr>
        <w:pStyle w:val="BodyText2"/>
        <w:jc w:val="both"/>
        <w:rPr>
          <w:rFonts w:ascii="DIN-Medium" w:hAnsi="DIN-Medium"/>
          <w:sz w:val="60"/>
        </w:rPr>
      </w:pPr>
    </w:p>
    <w:p w14:paraId="5ECFFEFB" w14:textId="77777777" w:rsidR="006F783A" w:rsidRDefault="006F783A" w:rsidP="006F783A">
      <w:pPr>
        <w:pStyle w:val="BodyText2"/>
        <w:rPr>
          <w:rFonts w:ascii="Verdana" w:hAnsi="Verdana"/>
          <w:sz w:val="48"/>
          <w:szCs w:val="48"/>
        </w:rPr>
      </w:pPr>
    </w:p>
    <w:p w14:paraId="6C75C0EB" w14:textId="08DD33B3" w:rsidR="00257CB4" w:rsidRDefault="0088537C" w:rsidP="006F783A">
      <w:pPr>
        <w:pStyle w:val="BodyText2"/>
        <w:rPr>
          <w:rFonts w:ascii="Verdana" w:hAnsi="Verdana"/>
          <w:sz w:val="44"/>
          <w:szCs w:val="44"/>
        </w:rPr>
      </w:pPr>
      <w:r w:rsidRPr="0088537C">
        <w:rPr>
          <w:rFonts w:ascii="Verdana" w:hAnsi="Verdana"/>
          <w:sz w:val="44"/>
          <w:szCs w:val="44"/>
        </w:rPr>
        <w:t xml:space="preserve">The Statutory Basis for Accounting </w:t>
      </w:r>
      <w:r w:rsidR="0051587B">
        <w:rPr>
          <w:rFonts w:ascii="Verdana" w:hAnsi="Verdana"/>
          <w:sz w:val="44"/>
          <w:szCs w:val="44"/>
        </w:rPr>
        <w:t xml:space="preserve">for </w:t>
      </w:r>
      <w:r w:rsidRPr="0088537C">
        <w:rPr>
          <w:rFonts w:ascii="Verdana" w:hAnsi="Verdana"/>
          <w:sz w:val="44"/>
          <w:szCs w:val="44"/>
        </w:rPr>
        <w:t xml:space="preserve">and Disclosing Reserves in Scottish </w:t>
      </w:r>
      <w:r w:rsidR="0051587B">
        <w:rPr>
          <w:rFonts w:ascii="Verdana" w:hAnsi="Verdana"/>
          <w:sz w:val="44"/>
          <w:szCs w:val="44"/>
        </w:rPr>
        <w:t>L</w:t>
      </w:r>
      <w:r w:rsidRPr="0088537C">
        <w:rPr>
          <w:rFonts w:ascii="Verdana" w:hAnsi="Verdana"/>
          <w:sz w:val="44"/>
          <w:szCs w:val="44"/>
        </w:rPr>
        <w:t xml:space="preserve">ocal </w:t>
      </w:r>
      <w:r w:rsidR="003A7AE9">
        <w:rPr>
          <w:rFonts w:ascii="Verdana" w:hAnsi="Verdana"/>
          <w:sz w:val="44"/>
          <w:szCs w:val="44"/>
        </w:rPr>
        <w:t>Government Bodies</w:t>
      </w:r>
    </w:p>
    <w:p w14:paraId="7C76DA20" w14:textId="77777777" w:rsidR="006F783A" w:rsidRPr="00CA5E73" w:rsidRDefault="0088537C" w:rsidP="006F783A">
      <w:pPr>
        <w:pStyle w:val="BodyText2"/>
        <w:rPr>
          <w:rFonts w:ascii="Verdana" w:hAnsi="Verdana"/>
          <w:sz w:val="44"/>
          <w:szCs w:val="44"/>
        </w:rPr>
      </w:pPr>
      <w:r w:rsidRPr="0088537C">
        <w:rPr>
          <w:rFonts w:ascii="Verdana" w:hAnsi="Verdana"/>
          <w:sz w:val="44"/>
          <w:szCs w:val="44"/>
        </w:rPr>
        <w:t>(Revised</w:t>
      </w:r>
      <w:r w:rsidR="00257CB4">
        <w:rPr>
          <w:rFonts w:ascii="Verdana" w:hAnsi="Verdana"/>
          <w:sz w:val="44"/>
          <w:szCs w:val="44"/>
        </w:rPr>
        <w:t xml:space="preserve"> 2020</w:t>
      </w:r>
      <w:r w:rsidRPr="0088537C">
        <w:rPr>
          <w:rFonts w:ascii="Verdana" w:hAnsi="Verdana"/>
          <w:sz w:val="44"/>
          <w:szCs w:val="44"/>
        </w:rPr>
        <w:t>)</w:t>
      </w:r>
    </w:p>
    <w:p w14:paraId="769AE70C" w14:textId="77777777" w:rsidR="006F783A" w:rsidRDefault="006F783A" w:rsidP="006F783A">
      <w:pPr>
        <w:pStyle w:val="BodyText2"/>
        <w:rPr>
          <w:rFonts w:ascii="Verdana" w:hAnsi="Verdana"/>
          <w:sz w:val="48"/>
          <w:szCs w:val="48"/>
        </w:rPr>
      </w:pPr>
    </w:p>
    <w:p w14:paraId="2F9EA714" w14:textId="77777777" w:rsidR="006F783A" w:rsidRPr="00CA5E73" w:rsidRDefault="006F783A" w:rsidP="006F783A">
      <w:pPr>
        <w:pStyle w:val="BodyText2"/>
        <w:rPr>
          <w:rFonts w:ascii="Verdana" w:hAnsi="Verdana"/>
          <w:sz w:val="40"/>
          <w:szCs w:val="40"/>
        </w:rPr>
      </w:pPr>
      <w:r>
        <w:rPr>
          <w:rFonts w:ascii="Verdana" w:hAnsi="Verdana"/>
          <w:sz w:val="40"/>
          <w:szCs w:val="40"/>
        </w:rPr>
        <w:t xml:space="preserve">MANDATORY GUIDANCE </w:t>
      </w:r>
    </w:p>
    <w:p w14:paraId="747C7D82" w14:textId="77777777" w:rsidR="006F783A" w:rsidRDefault="006F783A" w:rsidP="006F783A">
      <w:pPr>
        <w:pStyle w:val="BodyText2"/>
        <w:rPr>
          <w:rFonts w:ascii="Verdana" w:hAnsi="Verdana"/>
          <w:sz w:val="60"/>
        </w:rPr>
      </w:pPr>
    </w:p>
    <w:p w14:paraId="66E7DCDC" w14:textId="77777777" w:rsidR="006F783A" w:rsidRDefault="006F783A" w:rsidP="006F783A">
      <w:pPr>
        <w:rPr>
          <w:rFonts w:ascii="Verdana" w:hAnsi="Verdana"/>
          <w:sz w:val="22"/>
          <w:szCs w:val="22"/>
          <w:u w:val="single"/>
          <w:lang w:val="en-US"/>
        </w:rPr>
      </w:pPr>
      <w:r>
        <w:rPr>
          <w:rFonts w:ascii="Verdana" w:hAnsi="Verdana"/>
          <w:sz w:val="22"/>
          <w:szCs w:val="22"/>
          <w:u w:val="single"/>
        </w:rPr>
        <w:br w:type="page"/>
      </w:r>
    </w:p>
    <w:p w14:paraId="6810CED8" w14:textId="77777777" w:rsidR="006F783A" w:rsidRPr="00A24E31" w:rsidRDefault="006F783A" w:rsidP="006F783A">
      <w:pPr>
        <w:pStyle w:val="Footer"/>
        <w:jc w:val="center"/>
        <w:rPr>
          <w:rFonts w:ascii="Verdana" w:hAnsi="Verdana"/>
          <w:sz w:val="22"/>
          <w:szCs w:val="22"/>
        </w:rPr>
      </w:pPr>
      <w:r w:rsidRPr="00A24E31">
        <w:rPr>
          <w:rFonts w:ascii="Verdana" w:hAnsi="Verdana"/>
          <w:sz w:val="22"/>
          <w:szCs w:val="22"/>
          <w:u w:val="single"/>
        </w:rPr>
        <w:lastRenderedPageBreak/>
        <w:t>LASAAC is funded by:</w:t>
      </w:r>
    </w:p>
    <w:p w14:paraId="67DC1606" w14:textId="77777777" w:rsidR="006F783A" w:rsidRPr="001A27C4" w:rsidRDefault="006F783A" w:rsidP="006F783A">
      <w:pPr>
        <w:pStyle w:val="Footer"/>
        <w:jc w:val="center"/>
      </w:pPr>
    </w:p>
    <w:p w14:paraId="0145D10E" w14:textId="77777777" w:rsidR="006F783A" w:rsidRDefault="006F783A" w:rsidP="006F783A">
      <w:pPr>
        <w:pStyle w:val="Footer"/>
      </w:pPr>
      <w:r w:rsidRPr="00A24E31">
        <w:rPr>
          <w:noProof/>
          <w:lang w:eastAsia="en-GB"/>
        </w:rPr>
        <w:drawing>
          <wp:inline distT="0" distB="0" distL="0" distR="0" wp14:anchorId="4FDA497C" wp14:editId="044203A0">
            <wp:extent cx="1695450" cy="342900"/>
            <wp:effectExtent l="0" t="0" r="0" b="0"/>
            <wp:docPr id="2" name="Picture 2" descr="AudScot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Scot logo bla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inline>
        </w:drawing>
      </w:r>
      <w:r>
        <w:t xml:space="preserve">                              </w:t>
      </w:r>
      <w:r w:rsidRPr="00A24E31">
        <w:rPr>
          <w:noProof/>
          <w:lang w:eastAsia="en-GB"/>
        </w:rPr>
        <w:drawing>
          <wp:inline distT="0" distB="0" distL="0" distR="0" wp14:anchorId="7391C1FA" wp14:editId="39CB7E25">
            <wp:extent cx="2352675" cy="409575"/>
            <wp:effectExtent l="0" t="0" r="0" b="0"/>
            <wp:docPr id="3" name="Picture 3" descr="Cipfa_corporat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pfa_corporate_cmy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52675" cy="409575"/>
                    </a:xfrm>
                    <a:prstGeom prst="rect">
                      <a:avLst/>
                    </a:prstGeom>
                    <a:noFill/>
                    <a:ln>
                      <a:noFill/>
                    </a:ln>
                  </pic:spPr>
                </pic:pic>
              </a:graphicData>
            </a:graphic>
          </wp:inline>
        </w:drawing>
      </w:r>
    </w:p>
    <w:p w14:paraId="6E71B6A3" w14:textId="77777777" w:rsidR="006F783A" w:rsidRPr="002A206D" w:rsidRDefault="006F783A" w:rsidP="006F783A">
      <w:pPr>
        <w:pStyle w:val="Footer"/>
        <w:rPr>
          <w:sz w:val="28"/>
          <w:szCs w:val="28"/>
        </w:rPr>
      </w:pPr>
      <w:r>
        <w:t xml:space="preserve">                                       </w:t>
      </w:r>
      <w:r w:rsidRPr="00A24E31">
        <w:rPr>
          <w:noProof/>
          <w:lang w:eastAsia="en-GB"/>
        </w:rPr>
        <w:drawing>
          <wp:inline distT="0" distB="0" distL="0" distR="0" wp14:anchorId="4EB321B0" wp14:editId="49204B62">
            <wp:extent cx="2876550" cy="3143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6550" cy="314325"/>
                    </a:xfrm>
                    <a:prstGeom prst="rect">
                      <a:avLst/>
                    </a:prstGeom>
                    <a:noFill/>
                    <a:ln>
                      <a:noFill/>
                    </a:ln>
                  </pic:spPr>
                </pic:pic>
              </a:graphicData>
            </a:graphic>
          </wp:inline>
        </w:drawing>
      </w:r>
      <w:r>
        <w:tab/>
      </w:r>
      <w:r>
        <w:tab/>
        <w:t xml:space="preserve"> </w:t>
      </w:r>
    </w:p>
    <w:p w14:paraId="1B788008" w14:textId="77777777" w:rsidR="006F783A" w:rsidRDefault="006F783A" w:rsidP="006F783A">
      <w:pPr>
        <w:jc w:val="both"/>
        <w:rPr>
          <w:rFonts w:ascii="Verdana" w:hAnsi="Verdana"/>
          <w:sz w:val="20"/>
          <w:szCs w:val="20"/>
        </w:rPr>
      </w:pPr>
    </w:p>
    <w:p w14:paraId="78D478D0" w14:textId="77777777" w:rsidR="006F783A" w:rsidRPr="00A24E31" w:rsidRDefault="006F783A" w:rsidP="006F783A">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856"/>
      </w:tblGrid>
      <w:tr w:rsidR="006F783A" w14:paraId="486ADD65" w14:textId="77777777" w:rsidTr="0088537C">
        <w:tc>
          <w:tcPr>
            <w:tcW w:w="8856" w:type="dxa"/>
          </w:tcPr>
          <w:p w14:paraId="0A2BAF76" w14:textId="77777777" w:rsidR="006F783A" w:rsidRPr="00422F75" w:rsidRDefault="006F783A" w:rsidP="0088537C">
            <w:pPr>
              <w:jc w:val="both"/>
              <w:rPr>
                <w:rFonts w:ascii="Verdana" w:hAnsi="Verdana"/>
                <w:b/>
                <w:sz w:val="20"/>
                <w:szCs w:val="20"/>
                <w:lang w:val="en-US"/>
              </w:rPr>
            </w:pPr>
            <w:r w:rsidRPr="00422F75">
              <w:rPr>
                <w:rFonts w:ascii="Verdana" w:hAnsi="Verdana"/>
                <w:b/>
                <w:sz w:val="20"/>
                <w:szCs w:val="20"/>
                <w:lang w:val="en-US"/>
              </w:rPr>
              <w:t xml:space="preserve">LASAAC [The Local Authority (Scotland) Accounts Advisory Committee] is constituted of volunteer members, including representatives of the </w:t>
            </w:r>
            <w:r>
              <w:rPr>
                <w:rFonts w:ascii="Verdana" w:hAnsi="Verdana"/>
                <w:b/>
                <w:sz w:val="20"/>
                <w:szCs w:val="20"/>
                <w:lang w:val="en-US"/>
              </w:rPr>
              <w:t>three</w:t>
            </w:r>
            <w:r w:rsidRPr="00422F75">
              <w:rPr>
                <w:rFonts w:ascii="Verdana" w:hAnsi="Verdana"/>
                <w:b/>
                <w:sz w:val="20"/>
                <w:szCs w:val="20"/>
                <w:lang w:val="en-US"/>
              </w:rPr>
              <w:t xml:space="preserve"> funding bodies: CIPFA, Audit Scotland and the Scottish Government. LASAAC is primarily concerned with the development and promotion of proper accounting practice for Scottish local government.  A key task in achieving this is LASAAC’s representation on CIPFA-LASAAC which produces the UK-wide ‘Code of Practice on Local Authority Accounting in the United Kingdom’.  </w:t>
            </w:r>
          </w:p>
          <w:p w14:paraId="48F70AEC" w14:textId="77777777" w:rsidR="006F783A" w:rsidRPr="00E84E85" w:rsidRDefault="006F783A" w:rsidP="0088537C">
            <w:pPr>
              <w:pStyle w:val="BodyText2"/>
              <w:jc w:val="both"/>
              <w:rPr>
                <w:rFonts w:ascii="Verdana" w:hAnsi="Verdana"/>
                <w:b w:val="0"/>
                <w:sz w:val="20"/>
              </w:rPr>
            </w:pPr>
          </w:p>
        </w:tc>
      </w:tr>
    </w:tbl>
    <w:p w14:paraId="46BC477A" w14:textId="77777777" w:rsidR="006F783A" w:rsidRDefault="006F783A" w:rsidP="006F783A">
      <w:pPr>
        <w:jc w:val="both"/>
        <w:rPr>
          <w:rFonts w:ascii="Verdana" w:hAnsi="Verdana"/>
          <w:sz w:val="20"/>
          <w:szCs w:val="20"/>
        </w:rPr>
      </w:pPr>
    </w:p>
    <w:p w14:paraId="400F00B7" w14:textId="77777777" w:rsidR="006F783A" w:rsidRDefault="006F783A" w:rsidP="006F783A">
      <w:pPr>
        <w:jc w:val="both"/>
        <w:rPr>
          <w:rFonts w:ascii="Verdana" w:hAnsi="Verdana"/>
          <w:sz w:val="20"/>
          <w:szCs w:val="20"/>
        </w:rPr>
      </w:pPr>
      <w:r w:rsidRPr="00422F75">
        <w:rPr>
          <w:rFonts w:ascii="Verdana" w:hAnsi="Verdana"/>
          <w:sz w:val="20"/>
          <w:szCs w:val="20"/>
        </w:rPr>
        <w:t>Further information about LASAAC can be obtained at</w:t>
      </w:r>
      <w:r>
        <w:rPr>
          <w:rFonts w:ascii="Verdana" w:hAnsi="Verdana"/>
          <w:sz w:val="20"/>
          <w:szCs w:val="20"/>
        </w:rPr>
        <w:t>:</w:t>
      </w:r>
    </w:p>
    <w:p w14:paraId="1A9B4DD1" w14:textId="77777777" w:rsidR="006F783A" w:rsidRPr="00422F75" w:rsidRDefault="00B617D3" w:rsidP="006F783A">
      <w:pPr>
        <w:jc w:val="both"/>
        <w:rPr>
          <w:rFonts w:ascii="Verdana" w:hAnsi="Verdana"/>
          <w:sz w:val="20"/>
          <w:szCs w:val="20"/>
        </w:rPr>
      </w:pPr>
      <w:hyperlink r:id="rId18" w:history="1">
        <w:r w:rsidR="006F783A" w:rsidRPr="00422F75">
          <w:rPr>
            <w:rStyle w:val="Hyperlink"/>
            <w:rFonts w:ascii="Verdana" w:hAnsi="Verdana"/>
            <w:sz w:val="20"/>
          </w:rPr>
          <w:t>http://www.cipfascotland.org.uk/technical/lasaac.cfm</w:t>
        </w:r>
      </w:hyperlink>
    </w:p>
    <w:p w14:paraId="5304FC87" w14:textId="77777777" w:rsidR="006F783A" w:rsidRPr="00422F75" w:rsidRDefault="006F783A" w:rsidP="006F783A">
      <w:pPr>
        <w:jc w:val="both"/>
        <w:rPr>
          <w:rFonts w:ascii="Verdana" w:hAnsi="Verdana"/>
          <w:sz w:val="20"/>
          <w:szCs w:val="20"/>
        </w:rPr>
      </w:pPr>
    </w:p>
    <w:p w14:paraId="0158AA54" w14:textId="77777777" w:rsidR="006F783A" w:rsidRPr="00422F75" w:rsidRDefault="006F783A" w:rsidP="006F783A">
      <w:pPr>
        <w:jc w:val="both"/>
        <w:rPr>
          <w:rFonts w:ascii="Verdana" w:hAnsi="Verdana"/>
          <w:sz w:val="20"/>
          <w:szCs w:val="20"/>
        </w:rPr>
      </w:pPr>
    </w:p>
    <w:p w14:paraId="418AFF7B" w14:textId="77777777" w:rsidR="006F783A" w:rsidRPr="00422F75" w:rsidRDefault="006F783A" w:rsidP="006F783A">
      <w:pPr>
        <w:jc w:val="both"/>
        <w:rPr>
          <w:rFonts w:ascii="Verdana" w:hAnsi="Verdana"/>
          <w:sz w:val="20"/>
          <w:szCs w:val="20"/>
        </w:rPr>
      </w:pPr>
    </w:p>
    <w:p w14:paraId="0C77D68C" w14:textId="77777777" w:rsidR="006F783A" w:rsidRPr="00422F75" w:rsidRDefault="006F783A" w:rsidP="006F783A">
      <w:pPr>
        <w:jc w:val="both"/>
        <w:rPr>
          <w:rFonts w:ascii="Verdana" w:hAnsi="Verdana"/>
          <w:sz w:val="20"/>
          <w:szCs w:val="20"/>
        </w:rPr>
      </w:pPr>
    </w:p>
    <w:p w14:paraId="6C6E7506" w14:textId="77777777" w:rsidR="006F783A" w:rsidRPr="00422F75" w:rsidRDefault="006F783A" w:rsidP="006F783A">
      <w:pPr>
        <w:jc w:val="both"/>
        <w:rPr>
          <w:rFonts w:ascii="Verdana" w:hAnsi="Verdana"/>
          <w:sz w:val="20"/>
          <w:szCs w:val="20"/>
        </w:rPr>
      </w:pPr>
      <w:r w:rsidRPr="00422F75">
        <w:rPr>
          <w:rFonts w:ascii="Verdana" w:hAnsi="Verdana"/>
          <w:sz w:val="20"/>
          <w:szCs w:val="20"/>
        </w:rPr>
        <w:t xml:space="preserve">The Chartered Institute of Public Finance and Accountancy (CIPFA) provide secretariat support for LASAAC. If you would like to contact LASAAC please communicate with </w:t>
      </w:r>
    </w:p>
    <w:p w14:paraId="648C61E9" w14:textId="77777777" w:rsidR="006F783A" w:rsidRPr="00422F75" w:rsidRDefault="006F783A" w:rsidP="006F783A">
      <w:pPr>
        <w:jc w:val="both"/>
        <w:rPr>
          <w:rFonts w:ascii="Verdana" w:hAnsi="Verdana"/>
          <w:sz w:val="20"/>
          <w:szCs w:val="20"/>
        </w:rPr>
      </w:pPr>
    </w:p>
    <w:p w14:paraId="789515DC" w14:textId="77777777" w:rsidR="006F783A" w:rsidRPr="00422F75" w:rsidRDefault="006F783A" w:rsidP="006F783A">
      <w:pPr>
        <w:jc w:val="both"/>
        <w:rPr>
          <w:rFonts w:ascii="Verdana" w:hAnsi="Verdana"/>
          <w:i/>
          <w:sz w:val="20"/>
          <w:szCs w:val="20"/>
        </w:rPr>
      </w:pPr>
    </w:p>
    <w:p w14:paraId="0A74A08C" w14:textId="77777777" w:rsidR="006F783A" w:rsidRPr="00422F75" w:rsidRDefault="006F783A" w:rsidP="006F783A">
      <w:pPr>
        <w:jc w:val="both"/>
        <w:rPr>
          <w:rFonts w:ascii="Verdana" w:hAnsi="Verdana"/>
          <w:i/>
          <w:sz w:val="20"/>
          <w:szCs w:val="20"/>
        </w:rPr>
      </w:pPr>
    </w:p>
    <w:p w14:paraId="373FC5A5" w14:textId="4041B478" w:rsidR="006F783A" w:rsidRPr="00422F75" w:rsidRDefault="006F783A" w:rsidP="006F783A">
      <w:pPr>
        <w:pStyle w:val="p7"/>
        <w:ind w:right="29"/>
        <w:jc w:val="both"/>
        <w:rPr>
          <w:rFonts w:ascii="Verdana" w:hAnsi="Verdana"/>
          <w:sz w:val="20"/>
        </w:rPr>
      </w:pPr>
      <w:r w:rsidRPr="00422F75">
        <w:rPr>
          <w:rFonts w:ascii="Verdana" w:hAnsi="Verdana"/>
          <w:sz w:val="20"/>
        </w:rPr>
        <w:t>Contact:</w:t>
      </w:r>
      <w:r w:rsidRPr="00422F75">
        <w:rPr>
          <w:rFonts w:ascii="Verdana" w:hAnsi="Verdana"/>
          <w:sz w:val="20"/>
        </w:rPr>
        <w:tab/>
      </w:r>
    </w:p>
    <w:p w14:paraId="248E19EB" w14:textId="33B5419A" w:rsidR="006F783A" w:rsidRPr="00422F75" w:rsidRDefault="006F783A" w:rsidP="006F783A">
      <w:pPr>
        <w:pStyle w:val="p7"/>
        <w:ind w:right="29"/>
        <w:jc w:val="both"/>
        <w:rPr>
          <w:rFonts w:ascii="Verdana" w:hAnsi="Verdana"/>
          <w:sz w:val="20"/>
        </w:rPr>
      </w:pPr>
      <w:r w:rsidRPr="00422F75">
        <w:rPr>
          <w:rFonts w:ascii="Verdana" w:hAnsi="Verdana"/>
          <w:sz w:val="20"/>
        </w:rPr>
        <w:tab/>
      </w:r>
      <w:r w:rsidRPr="00422F75">
        <w:rPr>
          <w:rFonts w:ascii="Verdana" w:hAnsi="Verdana"/>
          <w:sz w:val="20"/>
        </w:rPr>
        <w:tab/>
      </w:r>
    </w:p>
    <w:p w14:paraId="7A851114" w14:textId="77777777" w:rsidR="006F783A" w:rsidRPr="00422F75" w:rsidRDefault="006F783A" w:rsidP="006F783A">
      <w:pPr>
        <w:pStyle w:val="p7"/>
        <w:ind w:left="1440" w:right="29" w:hanging="1440"/>
        <w:jc w:val="both"/>
        <w:rPr>
          <w:rFonts w:ascii="Verdana" w:hAnsi="Verdana"/>
          <w:sz w:val="20"/>
        </w:rPr>
      </w:pPr>
      <w:r w:rsidRPr="00422F75">
        <w:rPr>
          <w:rFonts w:ascii="Verdana" w:hAnsi="Verdana"/>
          <w:sz w:val="20"/>
        </w:rPr>
        <w:tab/>
        <w:t xml:space="preserve">CIPFA </w:t>
      </w:r>
    </w:p>
    <w:p w14:paraId="5DED1BC2" w14:textId="77777777" w:rsidR="006F783A" w:rsidRPr="00422F75" w:rsidRDefault="006F783A" w:rsidP="006F783A">
      <w:pPr>
        <w:pStyle w:val="p7"/>
        <w:ind w:left="1440" w:right="29" w:hanging="1440"/>
        <w:jc w:val="both"/>
        <w:rPr>
          <w:rFonts w:ascii="Verdana" w:hAnsi="Verdana"/>
          <w:sz w:val="20"/>
        </w:rPr>
      </w:pPr>
      <w:r w:rsidRPr="00422F75">
        <w:rPr>
          <w:rFonts w:ascii="Verdana" w:hAnsi="Verdana"/>
          <w:sz w:val="20"/>
        </w:rPr>
        <w:tab/>
        <w:t>160 Dundee Street</w:t>
      </w:r>
    </w:p>
    <w:p w14:paraId="6C4EC61A" w14:textId="77777777" w:rsidR="006F783A" w:rsidRPr="00422F75" w:rsidRDefault="006F783A" w:rsidP="006F783A">
      <w:pPr>
        <w:pStyle w:val="p7"/>
        <w:ind w:left="1440" w:right="29" w:hanging="1440"/>
        <w:jc w:val="both"/>
        <w:rPr>
          <w:rFonts w:ascii="Verdana" w:hAnsi="Verdana"/>
          <w:sz w:val="20"/>
        </w:rPr>
      </w:pPr>
      <w:r w:rsidRPr="00422F75">
        <w:rPr>
          <w:rFonts w:ascii="Verdana" w:hAnsi="Verdana"/>
          <w:sz w:val="20"/>
        </w:rPr>
        <w:tab/>
        <w:t>Edinburgh</w:t>
      </w:r>
    </w:p>
    <w:p w14:paraId="2512D17A" w14:textId="77777777" w:rsidR="006F783A" w:rsidRPr="00422F75" w:rsidRDefault="006F783A" w:rsidP="006F783A">
      <w:pPr>
        <w:pStyle w:val="p7"/>
        <w:ind w:left="1440" w:right="29" w:hanging="1440"/>
        <w:jc w:val="both"/>
        <w:rPr>
          <w:rFonts w:ascii="Verdana" w:hAnsi="Verdana"/>
          <w:sz w:val="20"/>
        </w:rPr>
      </w:pPr>
      <w:r w:rsidRPr="00422F75">
        <w:rPr>
          <w:rFonts w:ascii="Verdana" w:hAnsi="Verdana"/>
          <w:sz w:val="20"/>
        </w:rPr>
        <w:tab/>
        <w:t>EH11 1DQ</w:t>
      </w:r>
    </w:p>
    <w:p w14:paraId="5DFAFCE0" w14:textId="77777777" w:rsidR="006F783A" w:rsidRPr="00422F75" w:rsidRDefault="006F783A" w:rsidP="006F783A">
      <w:pPr>
        <w:jc w:val="both"/>
        <w:rPr>
          <w:rStyle w:val="Hyperlink"/>
          <w:rFonts w:ascii="Verdana" w:hAnsi="Verdana"/>
          <w:sz w:val="20"/>
        </w:rPr>
      </w:pPr>
      <w:r w:rsidRPr="00422F75">
        <w:rPr>
          <w:rFonts w:ascii="Verdana" w:hAnsi="Verdana"/>
          <w:sz w:val="20"/>
          <w:szCs w:val="20"/>
        </w:rPr>
        <w:tab/>
      </w:r>
      <w:r w:rsidRPr="00422F75">
        <w:rPr>
          <w:rFonts w:ascii="Verdana" w:hAnsi="Verdana"/>
          <w:sz w:val="20"/>
          <w:szCs w:val="20"/>
        </w:rPr>
        <w:tab/>
      </w:r>
      <w:hyperlink r:id="rId19" w:history="1">
        <w:r w:rsidRPr="00422F75">
          <w:rPr>
            <w:rStyle w:val="Hyperlink"/>
            <w:rFonts w:ascii="Verdana" w:hAnsi="Verdana"/>
            <w:sz w:val="20"/>
          </w:rPr>
          <w:t>lasaac@cipfa.org</w:t>
        </w:r>
      </w:hyperlink>
    </w:p>
    <w:p w14:paraId="00C40920" w14:textId="77777777" w:rsidR="006F783A" w:rsidRPr="00422F75" w:rsidRDefault="006F783A" w:rsidP="006F783A">
      <w:pPr>
        <w:jc w:val="both"/>
        <w:rPr>
          <w:rStyle w:val="Hyperlink"/>
          <w:rFonts w:ascii="Verdana" w:hAnsi="Verdana"/>
          <w:sz w:val="20"/>
        </w:rPr>
      </w:pPr>
    </w:p>
    <w:p w14:paraId="7B9ECBBD" w14:textId="77777777" w:rsidR="006F783A" w:rsidRDefault="006F783A" w:rsidP="006F783A">
      <w:pPr>
        <w:jc w:val="both"/>
        <w:rPr>
          <w:rStyle w:val="Hyperlink"/>
          <w:rFonts w:ascii="Verdana" w:hAnsi="Verdana"/>
          <w:sz w:val="22"/>
          <w:szCs w:val="22"/>
        </w:rPr>
      </w:pPr>
    </w:p>
    <w:p w14:paraId="15FB1DEE" w14:textId="77777777" w:rsidR="006F783A" w:rsidRDefault="006F783A" w:rsidP="006F783A">
      <w:pPr>
        <w:jc w:val="both"/>
        <w:rPr>
          <w:rStyle w:val="Hyperlink"/>
          <w:rFonts w:ascii="Verdana" w:hAnsi="Verdana"/>
          <w:sz w:val="22"/>
          <w:szCs w:val="22"/>
        </w:rPr>
      </w:pPr>
    </w:p>
    <w:p w14:paraId="5DB7F3AC" w14:textId="77777777" w:rsidR="006F783A" w:rsidRDefault="006F783A" w:rsidP="006F783A">
      <w:pPr>
        <w:jc w:val="both"/>
        <w:rPr>
          <w:rStyle w:val="Hyperlink"/>
          <w:rFonts w:ascii="Verdana" w:hAnsi="Verdana"/>
          <w:sz w:val="22"/>
          <w:szCs w:val="22"/>
        </w:rPr>
      </w:pPr>
    </w:p>
    <w:p w14:paraId="750C00DF" w14:textId="77777777" w:rsidR="006F783A" w:rsidRDefault="006F783A" w:rsidP="006F783A">
      <w:pPr>
        <w:jc w:val="both"/>
        <w:rPr>
          <w:rStyle w:val="Hyperlink"/>
          <w:rFonts w:ascii="Verdana" w:hAnsi="Verdana"/>
          <w:sz w:val="22"/>
          <w:szCs w:val="22"/>
        </w:rPr>
      </w:pPr>
    </w:p>
    <w:p w14:paraId="688A60B9" w14:textId="77777777" w:rsidR="006F783A" w:rsidRDefault="006F783A" w:rsidP="006F783A">
      <w:pPr>
        <w:jc w:val="both"/>
        <w:rPr>
          <w:rStyle w:val="Hyperlink"/>
          <w:rFonts w:ascii="Verdana" w:hAnsi="Verdana"/>
          <w:sz w:val="22"/>
          <w:szCs w:val="22"/>
        </w:rPr>
      </w:pPr>
    </w:p>
    <w:p w14:paraId="1FAD80D6" w14:textId="77777777" w:rsidR="006F783A" w:rsidRDefault="006F783A" w:rsidP="006F783A">
      <w:pPr>
        <w:jc w:val="both"/>
        <w:rPr>
          <w:rStyle w:val="Hyperlink"/>
          <w:rFonts w:ascii="Verdana" w:hAnsi="Verdana"/>
          <w:sz w:val="22"/>
          <w:szCs w:val="22"/>
        </w:rPr>
      </w:pPr>
    </w:p>
    <w:p w14:paraId="5E344D3C" w14:textId="77777777" w:rsidR="006F783A" w:rsidRDefault="006F783A" w:rsidP="006F783A">
      <w:pPr>
        <w:jc w:val="both"/>
        <w:rPr>
          <w:rStyle w:val="Hyperlink"/>
          <w:rFonts w:ascii="Verdana" w:hAnsi="Verdana"/>
          <w:sz w:val="22"/>
          <w:szCs w:val="22"/>
        </w:rPr>
      </w:pPr>
    </w:p>
    <w:p w14:paraId="1783D92E" w14:textId="77777777" w:rsidR="006F783A" w:rsidRDefault="006F783A" w:rsidP="006F783A">
      <w:pPr>
        <w:jc w:val="both"/>
        <w:rPr>
          <w:rStyle w:val="Hyperlink"/>
          <w:rFonts w:ascii="Verdana" w:hAnsi="Verdana"/>
          <w:sz w:val="22"/>
          <w:szCs w:val="22"/>
        </w:rPr>
      </w:pPr>
    </w:p>
    <w:p w14:paraId="382F8025" w14:textId="77777777" w:rsidR="006F783A" w:rsidRDefault="006F783A" w:rsidP="006F783A">
      <w:pPr>
        <w:jc w:val="both"/>
        <w:rPr>
          <w:rStyle w:val="Hyperlink"/>
          <w:rFonts w:ascii="Verdana" w:hAnsi="Verdana"/>
          <w:sz w:val="22"/>
          <w:szCs w:val="22"/>
        </w:rPr>
      </w:pPr>
    </w:p>
    <w:p w14:paraId="1153DB65" w14:textId="77777777" w:rsidR="006F783A" w:rsidRDefault="006F783A" w:rsidP="006F783A">
      <w:pPr>
        <w:jc w:val="both"/>
        <w:rPr>
          <w:rStyle w:val="Hyperlink"/>
          <w:rFonts w:ascii="Verdana" w:hAnsi="Verdana"/>
          <w:sz w:val="22"/>
          <w:szCs w:val="22"/>
        </w:rPr>
      </w:pPr>
    </w:p>
    <w:p w14:paraId="59145DE6" w14:textId="77777777" w:rsidR="006F783A" w:rsidRDefault="006F783A" w:rsidP="006F783A">
      <w:pPr>
        <w:jc w:val="both"/>
        <w:rPr>
          <w:rStyle w:val="Hyperlink"/>
          <w:rFonts w:ascii="Verdana" w:hAnsi="Verdana"/>
          <w:sz w:val="22"/>
          <w:szCs w:val="22"/>
        </w:rPr>
      </w:pPr>
    </w:p>
    <w:p w14:paraId="7D6320D6" w14:textId="77777777" w:rsidR="006F783A" w:rsidRDefault="006F783A" w:rsidP="006F783A">
      <w:pPr>
        <w:jc w:val="both"/>
        <w:rPr>
          <w:rStyle w:val="Hyperlink"/>
          <w:rFonts w:ascii="Verdana" w:hAnsi="Verdana"/>
          <w:sz w:val="22"/>
          <w:szCs w:val="22"/>
        </w:rPr>
      </w:pPr>
    </w:p>
    <w:p w14:paraId="5EEF9B3D" w14:textId="77777777" w:rsidR="006F783A" w:rsidRDefault="006F783A" w:rsidP="006F783A">
      <w:pPr>
        <w:jc w:val="both"/>
        <w:rPr>
          <w:rStyle w:val="Hyperlink"/>
          <w:rFonts w:ascii="Verdana" w:hAnsi="Verdana"/>
          <w:sz w:val="22"/>
          <w:szCs w:val="22"/>
        </w:rPr>
      </w:pPr>
    </w:p>
    <w:p w14:paraId="292369C6" w14:textId="77777777" w:rsidR="006F783A" w:rsidRDefault="006F783A" w:rsidP="006F783A">
      <w:pPr>
        <w:jc w:val="both"/>
        <w:rPr>
          <w:rStyle w:val="Hyperlink"/>
          <w:rFonts w:ascii="Verdana" w:hAnsi="Verdana"/>
          <w:sz w:val="22"/>
          <w:szCs w:val="22"/>
        </w:rPr>
      </w:pPr>
    </w:p>
    <w:p w14:paraId="4E9D9903" w14:textId="77777777" w:rsidR="006F783A" w:rsidRDefault="006F783A" w:rsidP="006F783A">
      <w:pPr>
        <w:jc w:val="both"/>
        <w:rPr>
          <w:rStyle w:val="Hyperlink"/>
          <w:rFonts w:ascii="Verdana" w:hAnsi="Verdana"/>
          <w:sz w:val="22"/>
          <w:szCs w:val="22"/>
        </w:rPr>
      </w:pPr>
    </w:p>
    <w:p w14:paraId="0F03D7E4" w14:textId="77777777" w:rsidR="006F783A" w:rsidRDefault="006F783A" w:rsidP="006F783A">
      <w:pPr>
        <w:jc w:val="both"/>
        <w:rPr>
          <w:rFonts w:ascii="Verdana" w:hAnsi="Verdana"/>
          <w:sz w:val="20"/>
          <w:szCs w:val="20"/>
        </w:rPr>
      </w:pPr>
      <w:r>
        <w:rPr>
          <w:rFonts w:ascii="Verdana" w:hAnsi="Verdana"/>
          <w:b/>
          <w:sz w:val="22"/>
          <w:szCs w:val="22"/>
        </w:rPr>
        <w:br w:type="page"/>
      </w:r>
    </w:p>
    <w:p w14:paraId="217E0A77" w14:textId="77777777" w:rsidR="0088537C" w:rsidRDefault="0088537C" w:rsidP="008407C0">
      <w:pPr>
        <w:pStyle w:val="Title"/>
      </w:pPr>
      <w:r>
        <w:lastRenderedPageBreak/>
        <w:t xml:space="preserve">Background </w:t>
      </w:r>
    </w:p>
    <w:p w14:paraId="7B643964" w14:textId="77777777" w:rsidR="008407C0" w:rsidRDefault="008407C0" w:rsidP="006F783A">
      <w:pPr>
        <w:jc w:val="both"/>
      </w:pPr>
    </w:p>
    <w:p w14:paraId="4EFA9A14" w14:textId="489FE089" w:rsidR="008407C0" w:rsidRDefault="008407C0" w:rsidP="0095786C">
      <w:pPr>
        <w:pStyle w:val="ListParagraph"/>
        <w:numPr>
          <w:ilvl w:val="0"/>
          <w:numId w:val="15"/>
        </w:numPr>
        <w:spacing w:after="120"/>
        <w:jc w:val="both"/>
      </w:pPr>
      <w:r>
        <w:t>In October 2005, LASAAC issued g</w:t>
      </w:r>
      <w:r w:rsidR="0088537C">
        <w:t xml:space="preserve">uidance on </w:t>
      </w:r>
      <w:r w:rsidR="00C60209" w:rsidRPr="00C60209">
        <w:t xml:space="preserve">the accounting treatment, disclosure requirements, and legislative basis </w:t>
      </w:r>
      <w:r w:rsidR="00C60209">
        <w:t xml:space="preserve">for </w:t>
      </w:r>
      <w:r w:rsidR="0088537C">
        <w:t xml:space="preserve">reserves </w:t>
      </w:r>
      <w:r>
        <w:t xml:space="preserve">and funds </w:t>
      </w:r>
      <w:r w:rsidR="0088537C">
        <w:t>in local authorities in Scotland.</w:t>
      </w:r>
    </w:p>
    <w:p w14:paraId="7EF5C8B4" w14:textId="6261B905" w:rsidR="008407C0" w:rsidRDefault="008407C0" w:rsidP="0095786C">
      <w:pPr>
        <w:pStyle w:val="ListParagraph"/>
        <w:numPr>
          <w:ilvl w:val="0"/>
          <w:numId w:val="15"/>
        </w:numPr>
        <w:spacing w:before="120" w:after="120"/>
        <w:ind w:left="714" w:hanging="357"/>
        <w:jc w:val="both"/>
      </w:pPr>
      <w:r>
        <w:t xml:space="preserve">There have been a number of changes in the financial reporting framework </w:t>
      </w:r>
      <w:r w:rsidR="00C60209">
        <w:t xml:space="preserve">in the 15 years </w:t>
      </w:r>
      <w:r w:rsidR="00B70127">
        <w:t>s</w:t>
      </w:r>
      <w:r>
        <w:t xml:space="preserve">ince the </w:t>
      </w:r>
      <w:r w:rsidR="00A41682">
        <w:t xml:space="preserve">guidance was issued. LASAAC has therefore revised and updated the guidance to make sure it remains fit for purpose. </w:t>
      </w:r>
    </w:p>
    <w:p w14:paraId="3621A09F" w14:textId="77777777" w:rsidR="00A41682" w:rsidRDefault="0088537C" w:rsidP="00224AF4">
      <w:pPr>
        <w:pStyle w:val="Title"/>
      </w:pPr>
      <w:r>
        <w:t>Scope and Status of this Guidance</w:t>
      </w:r>
    </w:p>
    <w:p w14:paraId="431BB7B9" w14:textId="77777777" w:rsidR="00A41682" w:rsidRDefault="00A41682" w:rsidP="006F783A">
      <w:pPr>
        <w:jc w:val="both"/>
      </w:pPr>
    </w:p>
    <w:p w14:paraId="19640462" w14:textId="55A103A6" w:rsidR="0095786C" w:rsidRDefault="0088537C" w:rsidP="0095786C">
      <w:pPr>
        <w:pStyle w:val="ListParagraph"/>
        <w:numPr>
          <w:ilvl w:val="0"/>
          <w:numId w:val="15"/>
        </w:numPr>
        <w:spacing w:after="120"/>
        <w:ind w:left="714" w:hanging="357"/>
        <w:jc w:val="both"/>
      </w:pPr>
      <w:r>
        <w:t xml:space="preserve">This </w:t>
      </w:r>
      <w:r w:rsidR="00A41682">
        <w:t>updated</w:t>
      </w:r>
      <w:r>
        <w:t xml:space="preserve"> guidance </w:t>
      </w:r>
      <w:r w:rsidR="00A41682">
        <w:t xml:space="preserve">is </w:t>
      </w:r>
      <w:r>
        <w:t xml:space="preserve">aimed at assisting practitioners </w:t>
      </w:r>
      <w:r w:rsidR="000E3139">
        <w:t xml:space="preserve">operate reserves </w:t>
      </w:r>
      <w:r w:rsidR="00DB71A3">
        <w:t xml:space="preserve">in </w:t>
      </w:r>
      <w:r w:rsidR="000630C3">
        <w:t xml:space="preserve">a helpful way </w:t>
      </w:r>
      <w:r w:rsidR="000E3139">
        <w:t xml:space="preserve">while </w:t>
      </w:r>
      <w:r w:rsidR="002060FE">
        <w:t xml:space="preserve">also </w:t>
      </w:r>
      <w:r w:rsidR="00A41682">
        <w:t xml:space="preserve">meeting the </w:t>
      </w:r>
      <w:r>
        <w:t>requirements of the</w:t>
      </w:r>
      <w:r w:rsidR="00A41682">
        <w:t xml:space="preserve"> </w:t>
      </w:r>
      <w:r>
        <w:t>Code of Practice on Local Authority Accounting</w:t>
      </w:r>
      <w:r w:rsidR="00A41682">
        <w:t xml:space="preserve"> in the UK </w:t>
      </w:r>
      <w:r w:rsidR="000E3139">
        <w:t>as well as</w:t>
      </w:r>
      <w:r w:rsidR="00A41682">
        <w:t xml:space="preserve"> applicable legislation</w:t>
      </w:r>
      <w:r w:rsidR="000E3139">
        <w:t>.</w:t>
      </w:r>
    </w:p>
    <w:p w14:paraId="2D1E13E5" w14:textId="27F5FC90" w:rsidR="00A9067D" w:rsidRDefault="0095786C" w:rsidP="00E5691C">
      <w:pPr>
        <w:pStyle w:val="ListParagraph"/>
        <w:numPr>
          <w:ilvl w:val="0"/>
          <w:numId w:val="15"/>
        </w:numPr>
        <w:jc w:val="both"/>
      </w:pPr>
      <w:r>
        <w:t>The</w:t>
      </w:r>
      <w:r w:rsidRPr="0095786C">
        <w:t xml:space="preserve"> guidance represents proper accounting practices under </w:t>
      </w:r>
      <w:hyperlink r:id="rId20" w:history="1">
        <w:r w:rsidRPr="00CC0D18">
          <w:rPr>
            <w:rStyle w:val="Hyperlink"/>
          </w:rPr>
          <w:t>section 12 of The Local Government in Scotland Act 2003</w:t>
        </w:r>
      </w:hyperlink>
      <w:r w:rsidR="008933C7">
        <w:t xml:space="preserve">. </w:t>
      </w:r>
      <w:r w:rsidR="000E3139">
        <w:t xml:space="preserve">It is consistent with both the Code and </w:t>
      </w:r>
      <w:r w:rsidR="00776909">
        <w:t>applicable</w:t>
      </w:r>
      <w:r w:rsidR="000E3139">
        <w:t xml:space="preserve"> legislation but in so far as it goes further than those requirements, it represents mandatory guidance for </w:t>
      </w:r>
      <w:r w:rsidR="003A7AE9">
        <w:t xml:space="preserve">Scottish local government bodies. These bodies are </w:t>
      </w:r>
      <w:r w:rsidR="007F0CA7">
        <w:t xml:space="preserve">local authorities (i.e. </w:t>
      </w:r>
      <w:r w:rsidR="003A7AE9">
        <w:t>councils constituted under section 2 of the Local Government (Scotland) Act 1994</w:t>
      </w:r>
      <w:r w:rsidR="007F0CA7">
        <w:t>)</w:t>
      </w:r>
      <w:r w:rsidR="003A7AE9">
        <w:t xml:space="preserve"> and bodies to which section 106 of the Local Government (Scotland Act 1973 Act applies (valuation joint boards, joint committees, regional transport partnerships and integration joint boards)</w:t>
      </w:r>
      <w:r w:rsidR="00224AF4">
        <w:t>.</w:t>
      </w:r>
      <w:r w:rsidR="00A9067D">
        <w:t xml:space="preserve"> </w:t>
      </w:r>
    </w:p>
    <w:p w14:paraId="05D5B8E5" w14:textId="77777777" w:rsidR="0025714F" w:rsidRDefault="0025714F" w:rsidP="0031088A">
      <w:pPr>
        <w:pStyle w:val="ListParagraph"/>
        <w:jc w:val="both"/>
      </w:pPr>
    </w:p>
    <w:p w14:paraId="2234562E" w14:textId="773E79C6" w:rsidR="0025714F" w:rsidRDefault="0025714F" w:rsidP="00BA3344">
      <w:pPr>
        <w:pStyle w:val="ListParagraph"/>
        <w:numPr>
          <w:ilvl w:val="0"/>
          <w:numId w:val="15"/>
        </w:numPr>
        <w:jc w:val="both"/>
      </w:pPr>
      <w:r>
        <w:t xml:space="preserve">This guidance is applicable to Scottish local government bodies, but the precise requirements and relevance of different aspects will be affected by the legislative framework for, and decisions of, each body. In terms of legislation the restrictions relating to Integration Joint Boards (collectively and in </w:t>
      </w:r>
      <w:r w:rsidR="00D129D7">
        <w:t>each</w:t>
      </w:r>
      <w:r>
        <w:t xml:space="preserve"> individual </w:t>
      </w:r>
      <w:r w:rsidR="00DE6BB1">
        <w:t>Integration Scheme</w:t>
      </w:r>
      <w:r>
        <w:rPr>
          <w:rStyle w:val="FootnoteReference"/>
        </w:rPr>
        <w:footnoteReference w:id="1"/>
      </w:r>
      <w:r>
        <w:t xml:space="preserve">) and </w:t>
      </w:r>
      <w:r w:rsidR="003A7AE9">
        <w:t>joint committee</w:t>
      </w:r>
      <w:r>
        <w:t xml:space="preserve"> will affect what reserves are possible and relevant. Additionally </w:t>
      </w:r>
      <w:r w:rsidR="00DE6BB1">
        <w:t xml:space="preserve">as a further example </w:t>
      </w:r>
      <w:r>
        <w:t>some Scottish councils have previously decided to cease operating a Housing Revenue Account</w:t>
      </w:r>
      <w:r w:rsidR="00E0015F">
        <w:t xml:space="preserve"> (HRA)</w:t>
      </w:r>
      <w:r>
        <w:t xml:space="preserve">, and thus those references will not be applicable. </w:t>
      </w:r>
    </w:p>
    <w:p w14:paraId="0A9C548E" w14:textId="16A3420A" w:rsidR="008933C7" w:rsidRDefault="008933C7" w:rsidP="0095786C">
      <w:pPr>
        <w:pStyle w:val="ListParagraph"/>
        <w:numPr>
          <w:ilvl w:val="0"/>
          <w:numId w:val="15"/>
        </w:numPr>
        <w:spacing w:before="120" w:after="120"/>
        <w:ind w:left="714" w:hanging="357"/>
        <w:jc w:val="both"/>
      </w:pPr>
      <w:r>
        <w:t xml:space="preserve">The terms </w:t>
      </w:r>
      <w:r w:rsidR="00F74BA4">
        <w:t>‘</w:t>
      </w:r>
      <w:r>
        <w:t>reserve</w:t>
      </w:r>
      <w:r w:rsidR="00F74BA4">
        <w:t>’</w:t>
      </w:r>
      <w:r>
        <w:t xml:space="preserve"> and </w:t>
      </w:r>
      <w:r w:rsidR="00F74BA4">
        <w:t>‘</w:t>
      </w:r>
      <w:r>
        <w:t>fund</w:t>
      </w:r>
      <w:r w:rsidR="00F74BA4">
        <w:t>’</w:t>
      </w:r>
      <w:r>
        <w:t xml:space="preserve"> are both used within legislation. </w:t>
      </w:r>
      <w:r w:rsidR="00803FB1" w:rsidRPr="00803FB1">
        <w:t xml:space="preserve">It is the view of LASAAC that there is no difference in substance </w:t>
      </w:r>
      <w:r w:rsidR="009E7CAD">
        <w:t>between</w:t>
      </w:r>
      <w:r w:rsidR="00803FB1" w:rsidRPr="00803FB1">
        <w:t xml:space="preserve"> the</w:t>
      </w:r>
      <w:r w:rsidR="00BA3344">
        <w:t>se</w:t>
      </w:r>
      <w:r w:rsidR="00803FB1" w:rsidRPr="00803FB1">
        <w:t xml:space="preserve"> terms</w:t>
      </w:r>
      <w:r w:rsidR="00B2118F">
        <w:t xml:space="preserve"> and</w:t>
      </w:r>
      <w:r w:rsidR="00734FC7">
        <w:t>,</w:t>
      </w:r>
      <w:r w:rsidR="00B2118F">
        <w:t xml:space="preserve"> </w:t>
      </w:r>
      <w:r w:rsidR="00734FC7">
        <w:t>i</w:t>
      </w:r>
      <w:r>
        <w:t xml:space="preserve">ndeed, there should be consistent accounting treatment irrespective of the term </w:t>
      </w:r>
      <w:r w:rsidR="00F246CD">
        <w:t>used</w:t>
      </w:r>
      <w:r>
        <w:t xml:space="preserve">. This </w:t>
      </w:r>
      <w:r w:rsidR="00485C92">
        <w:t>guidance</w:t>
      </w:r>
      <w:r>
        <w:t xml:space="preserve"> </w:t>
      </w:r>
      <w:r w:rsidR="00E25995">
        <w:t>continues to</w:t>
      </w:r>
      <w:r>
        <w:t xml:space="preserve"> formally acknowledge the synonymous nature of funds and reserves and </w:t>
      </w:r>
      <w:r w:rsidR="005B56F1">
        <w:t xml:space="preserve">use of the </w:t>
      </w:r>
      <w:r>
        <w:t xml:space="preserve">term </w:t>
      </w:r>
      <w:r w:rsidR="00E25995">
        <w:t>‘</w:t>
      </w:r>
      <w:r>
        <w:t>reserves</w:t>
      </w:r>
      <w:r w:rsidR="00E25995">
        <w:t>’</w:t>
      </w:r>
      <w:r w:rsidR="005B56F1">
        <w:t xml:space="preserve"> should be taken as </w:t>
      </w:r>
      <w:r w:rsidR="00BB4B1C">
        <w:t>in</w:t>
      </w:r>
      <w:r w:rsidR="00CA5292">
        <w:t>clud</w:t>
      </w:r>
      <w:r w:rsidR="005B56F1">
        <w:t>ing</w:t>
      </w:r>
      <w:r w:rsidR="00CA5292">
        <w:t xml:space="preserve"> reference to </w:t>
      </w:r>
      <w:r>
        <w:t>funds.</w:t>
      </w:r>
    </w:p>
    <w:p w14:paraId="75EE0F54" w14:textId="0D1ECDC8" w:rsidR="00224AF4" w:rsidRDefault="00224AF4" w:rsidP="0095786C">
      <w:pPr>
        <w:pStyle w:val="ListParagraph"/>
        <w:numPr>
          <w:ilvl w:val="0"/>
          <w:numId w:val="15"/>
        </w:numPr>
        <w:spacing w:before="120" w:after="120"/>
        <w:ind w:left="714" w:hanging="357"/>
        <w:jc w:val="both"/>
      </w:pPr>
      <w:r>
        <w:t xml:space="preserve">The Code </w:t>
      </w:r>
      <w:r w:rsidR="0005708A">
        <w:t xml:space="preserve">distinguishes between usable reserves (i.e. those </w:t>
      </w:r>
      <w:r w:rsidR="00E91E76">
        <w:t>representing resources which the body might use to support service delivery at the reporting date</w:t>
      </w:r>
      <w:r w:rsidR="003D099D">
        <w:t>, subject to s</w:t>
      </w:r>
      <w:r w:rsidR="00915B0D">
        <w:t xml:space="preserve">tatutory or other </w:t>
      </w:r>
      <w:r w:rsidR="003D099D">
        <w:t xml:space="preserve">requirements affecting the authority’s financial management of those resources) </w:t>
      </w:r>
      <w:r w:rsidR="0005708A">
        <w:t>and other unusable reserves (</w:t>
      </w:r>
      <w:bookmarkStart w:id="1" w:name="_Hlk29721171"/>
      <w:r w:rsidR="0005708A">
        <w:t>which are as a result of statutory adjustments</w:t>
      </w:r>
      <w:r w:rsidR="00E91E76">
        <w:t xml:space="preserve"> and/or accounting </w:t>
      </w:r>
      <w:r w:rsidR="00E91E76">
        <w:lastRenderedPageBreak/>
        <w:t>gains or losses recognised in other comprehensive income and expenditure</w:t>
      </w:r>
      <w:bookmarkEnd w:id="1"/>
      <w:r w:rsidR="0005708A">
        <w:t>). Th</w:t>
      </w:r>
      <w:r w:rsidR="00C90BB5">
        <w:t>e</w:t>
      </w:r>
      <w:r w:rsidR="00274BB1">
        <w:t xml:space="preserve"> structure of th</w:t>
      </w:r>
      <w:r w:rsidR="0005708A">
        <w:t xml:space="preserve">is guidance reflects that distinction. </w:t>
      </w:r>
    </w:p>
    <w:p w14:paraId="48CF133C" w14:textId="097830FC" w:rsidR="00224AF4" w:rsidRDefault="0088537C" w:rsidP="0095786C">
      <w:pPr>
        <w:pStyle w:val="ListParagraph"/>
        <w:numPr>
          <w:ilvl w:val="0"/>
          <w:numId w:val="15"/>
        </w:numPr>
        <w:spacing w:after="240"/>
        <w:ind w:left="714" w:hanging="357"/>
        <w:jc w:val="both"/>
      </w:pPr>
      <w:r>
        <w:t>Th</w:t>
      </w:r>
      <w:r w:rsidR="00224AF4">
        <w:t xml:space="preserve">e scope of this </w:t>
      </w:r>
      <w:r>
        <w:t xml:space="preserve">guidance does not </w:t>
      </w:r>
      <w:r w:rsidR="00224AF4">
        <w:t xml:space="preserve">include advice on </w:t>
      </w:r>
      <w:r>
        <w:t xml:space="preserve">the level of </w:t>
      </w:r>
      <w:r w:rsidR="001610A8">
        <w:t xml:space="preserve">balances </w:t>
      </w:r>
      <w:r w:rsidR="00224AF4">
        <w:t xml:space="preserve">that a local </w:t>
      </w:r>
      <w:r w:rsidR="003A7AE9">
        <w:t xml:space="preserve">government body </w:t>
      </w:r>
      <w:r w:rsidR="00224AF4">
        <w:t xml:space="preserve">should </w:t>
      </w:r>
      <w:r w:rsidR="001610A8">
        <w:t xml:space="preserve">hold in </w:t>
      </w:r>
      <w:r w:rsidR="00C90BB5">
        <w:t xml:space="preserve">its </w:t>
      </w:r>
      <w:r w:rsidR="001610A8">
        <w:t xml:space="preserve">reserves </w:t>
      </w:r>
      <w:r w:rsidR="00224AF4">
        <w:t xml:space="preserve">as that is a matter for each </w:t>
      </w:r>
      <w:r w:rsidR="003A7AE9">
        <w:t xml:space="preserve">body </w:t>
      </w:r>
      <w:r w:rsidR="00C60209">
        <w:t xml:space="preserve">to determine based on </w:t>
      </w:r>
      <w:r w:rsidR="00C90BB5">
        <w:t>its</w:t>
      </w:r>
      <w:r w:rsidR="00C60209">
        <w:t xml:space="preserve"> individual circumstances</w:t>
      </w:r>
      <w:r w:rsidR="00224AF4">
        <w:t xml:space="preserve">.  </w:t>
      </w:r>
    </w:p>
    <w:p w14:paraId="3313F1EC" w14:textId="4AA77D4A" w:rsidR="00DE6BB1" w:rsidRDefault="00DE6BB1" w:rsidP="00DE6BB1">
      <w:pPr>
        <w:pStyle w:val="Title"/>
      </w:pPr>
      <w:r>
        <w:t>Application Considerations</w:t>
      </w:r>
    </w:p>
    <w:p w14:paraId="1F34C147" w14:textId="77777777" w:rsidR="00DE6BB1" w:rsidRDefault="00DE6BB1" w:rsidP="00DE6BB1">
      <w:pPr>
        <w:jc w:val="both"/>
      </w:pPr>
    </w:p>
    <w:p w14:paraId="5FA1B4F3" w14:textId="562D9944" w:rsidR="00DE6BB1" w:rsidRDefault="001A46EC" w:rsidP="00DE6BB1">
      <w:pPr>
        <w:pStyle w:val="ListParagraph"/>
        <w:numPr>
          <w:ilvl w:val="0"/>
          <w:numId w:val="15"/>
        </w:numPr>
        <w:spacing w:after="120"/>
        <w:jc w:val="both"/>
      </w:pPr>
      <w:r>
        <w:t xml:space="preserve">Appropriate </w:t>
      </w:r>
      <w:r w:rsidR="00DE6BB1">
        <w:t>accounting, treatment and presentation of reserves is critical in compl</w:t>
      </w:r>
      <w:r w:rsidR="00344767">
        <w:t xml:space="preserve">ying </w:t>
      </w:r>
      <w:r w:rsidR="00DE6BB1">
        <w:t xml:space="preserve">with legislative requirements, </w:t>
      </w:r>
      <w:r w:rsidR="00344767">
        <w:t xml:space="preserve">accounting standards, </w:t>
      </w:r>
      <w:r w:rsidR="00DE6BB1">
        <w:t xml:space="preserve">and in ensuring that the </w:t>
      </w:r>
      <w:r>
        <w:t>financial statements</w:t>
      </w:r>
      <w:r w:rsidR="00DE6BB1">
        <w:t xml:space="preserve"> present a true and fair view of an authority’s finances.</w:t>
      </w:r>
    </w:p>
    <w:p w14:paraId="27494AE9" w14:textId="6307BB3F" w:rsidR="00456378" w:rsidRDefault="00456378" w:rsidP="00DE6BB1">
      <w:pPr>
        <w:pStyle w:val="ListParagraph"/>
        <w:numPr>
          <w:ilvl w:val="0"/>
          <w:numId w:val="15"/>
        </w:numPr>
        <w:spacing w:after="120"/>
        <w:jc w:val="both"/>
      </w:pPr>
      <w:r>
        <w:t>The Prudential Code forms part of the control processes which affect how much a local authority, which has the</w:t>
      </w:r>
      <w:r w:rsidR="002F2F21">
        <w:t xml:space="preserve"> necessary legal powers,</w:t>
      </w:r>
      <w:r>
        <w:t xml:space="preserve"> may borrow</w:t>
      </w:r>
      <w:r w:rsidR="00CC0D18">
        <w:t>. Authorities have legal responsibilities relating to the Prudential Code</w:t>
      </w:r>
      <w:r w:rsidR="00CC0D18">
        <w:rPr>
          <w:rStyle w:val="FootnoteReference"/>
        </w:rPr>
        <w:footnoteReference w:id="2"/>
      </w:r>
      <w:r w:rsidR="00CC0D18">
        <w:t xml:space="preserve"> and compliance is</w:t>
      </w:r>
      <w:r>
        <w:t xml:space="preserve"> therefore regarded as mandatory. In compliance with the Prudential Code calculation of a key indicator, the Capital Financing Requirement (CFR), should be based on balance sheet data, including </w:t>
      </w:r>
      <w:r w:rsidR="002F2F21">
        <w:t xml:space="preserve">reference to </w:t>
      </w:r>
      <w:r>
        <w:t xml:space="preserve">relevant reserve balances. In some cases, for example revenue funded from capital under statute (REFCUS), it may be necessary to track </w:t>
      </w:r>
      <w:r w:rsidR="003D099D">
        <w:t>specific elements within a reserve.</w:t>
      </w:r>
    </w:p>
    <w:p w14:paraId="6570A00A" w14:textId="0097D087" w:rsidR="00DE6BB1" w:rsidRDefault="003D099D" w:rsidP="0031088A">
      <w:pPr>
        <w:pStyle w:val="ListParagraph"/>
        <w:numPr>
          <w:ilvl w:val="0"/>
          <w:numId w:val="15"/>
        </w:numPr>
        <w:spacing w:before="240" w:after="120"/>
        <w:jc w:val="both"/>
      </w:pPr>
      <w:r>
        <w:t xml:space="preserve">Where an authority has an HRA the </w:t>
      </w:r>
      <w:r w:rsidR="007B6DCD">
        <w:t xml:space="preserve">identification </w:t>
      </w:r>
      <w:r>
        <w:t xml:space="preserve">of </w:t>
      </w:r>
      <w:r w:rsidR="007B6DCD">
        <w:t>sub-</w:t>
      </w:r>
      <w:r>
        <w:t>balances within a single reserve</w:t>
      </w:r>
      <w:r w:rsidR="002A5280">
        <w:t>, for example the Capital Adjustment Account,</w:t>
      </w:r>
      <w:r>
        <w:t xml:space="preserve"> may be particularly relevant and necessary to comply with legislative requirements, including adherence to the Prudential Code. </w:t>
      </w:r>
      <w:r w:rsidR="002F2F21">
        <w:t>This does not inherently mean that presentation of such sub-balances in the annual accounts is necessary.</w:t>
      </w:r>
    </w:p>
    <w:p w14:paraId="0393564A" w14:textId="77777777" w:rsidR="007B6DCD" w:rsidRDefault="007B6DCD" w:rsidP="00F7613B">
      <w:pPr>
        <w:pStyle w:val="ListParagraph"/>
        <w:numPr>
          <w:ilvl w:val="0"/>
          <w:numId w:val="15"/>
        </w:numPr>
        <w:spacing w:before="240" w:after="120"/>
        <w:jc w:val="both"/>
      </w:pPr>
      <w:r>
        <w:t>Authorities should note however that f</w:t>
      </w:r>
      <w:r w:rsidR="00F7613B">
        <w:t>or legal purposes, such as the application of statutory adjustments, reference to the General Fund includes the HRA. The application of legislation</w:t>
      </w:r>
      <w:r w:rsidR="00F7613B">
        <w:rPr>
          <w:rStyle w:val="FootnoteReference"/>
        </w:rPr>
        <w:footnoteReference w:id="3"/>
      </w:r>
      <w:r w:rsidR="00F7613B">
        <w:t xml:space="preserve"> </w:t>
      </w:r>
      <w:r>
        <w:t xml:space="preserve">however creates a clear distinction between balances which are relevant for local taxation decisions, and balances which should affect HRA rent setting. </w:t>
      </w:r>
    </w:p>
    <w:p w14:paraId="4B21B93E" w14:textId="71C932C4" w:rsidR="00224AF4" w:rsidRDefault="00F7613B" w:rsidP="00F7613B">
      <w:pPr>
        <w:pStyle w:val="ListParagraph"/>
        <w:numPr>
          <w:ilvl w:val="0"/>
          <w:numId w:val="15"/>
        </w:numPr>
        <w:spacing w:before="240" w:after="120"/>
        <w:jc w:val="both"/>
      </w:pPr>
      <w:r w:rsidRPr="00F7613B">
        <w:t xml:space="preserve">Where Scottish authorities earmark a portion of the General Fund in respect of the HRA, this guidance </w:t>
      </w:r>
      <w:r w:rsidR="007B6DCD">
        <w:t xml:space="preserve">therefore </w:t>
      </w:r>
      <w:r w:rsidRPr="00F7613B">
        <w:t>requires it to be described as the HRA balance and allows the HRA balance to be presented as if it were a separate reserve in the MiRS.</w:t>
      </w:r>
      <w:r w:rsidR="007B6DCD">
        <w:t xml:space="preserve"> Accounting references to the presentation of a General Fund balance will therefore normally exclude the HRA balance.</w:t>
      </w:r>
    </w:p>
    <w:p w14:paraId="3EC4B82E" w14:textId="62FBDCE8" w:rsidR="007B6DCD" w:rsidRDefault="007B6DCD" w:rsidP="00F7613B">
      <w:pPr>
        <w:pStyle w:val="ListParagraph"/>
        <w:numPr>
          <w:ilvl w:val="0"/>
          <w:numId w:val="15"/>
        </w:numPr>
        <w:spacing w:before="240" w:after="120"/>
        <w:jc w:val="both"/>
      </w:pPr>
      <w:r>
        <w:t xml:space="preserve">All </w:t>
      </w:r>
      <w:r w:rsidR="007F0CA7">
        <w:t xml:space="preserve">bodies </w:t>
      </w:r>
      <w:r>
        <w:t>are responsible for ensuring compliance with relevant legislation and thus should consider the requirement for identification, although not necessarily presentation, of sub-balances within reserves.</w:t>
      </w:r>
    </w:p>
    <w:p w14:paraId="67CC4E32" w14:textId="77777777" w:rsidR="00224AF4" w:rsidRDefault="00224AF4" w:rsidP="0095786C">
      <w:pPr>
        <w:pStyle w:val="Subtitle"/>
        <w:spacing w:before="240" w:after="120"/>
      </w:pPr>
      <w:r>
        <w:t>Statutory basis</w:t>
      </w:r>
    </w:p>
    <w:p w14:paraId="23E0C9BB" w14:textId="6EE6C362" w:rsidR="00257CB4" w:rsidRDefault="00257CB4" w:rsidP="00DE6BB1">
      <w:pPr>
        <w:pStyle w:val="ListParagraph"/>
        <w:numPr>
          <w:ilvl w:val="0"/>
          <w:numId w:val="15"/>
        </w:numPr>
        <w:spacing w:after="120"/>
      </w:pPr>
      <w:bookmarkStart w:id="2" w:name="_Toc306350655"/>
      <w:bookmarkStart w:id="3" w:name="_Toc404937924"/>
      <w:bookmarkStart w:id="4" w:name="_Toc306350653"/>
      <w:bookmarkStart w:id="5" w:name="_Toc404937922"/>
      <w:bookmarkStart w:id="6" w:name="_Hlk186208"/>
      <w:r w:rsidRPr="00257CB4">
        <w:lastRenderedPageBreak/>
        <w:t xml:space="preserve">Usable reserves can be used to </w:t>
      </w:r>
      <w:r>
        <w:t xml:space="preserve">fund the </w:t>
      </w:r>
      <w:r w:rsidR="00C60209">
        <w:t xml:space="preserve">delivery </w:t>
      </w:r>
      <w:r>
        <w:t xml:space="preserve">of </w:t>
      </w:r>
      <w:r w:rsidRPr="00257CB4">
        <w:t>services</w:t>
      </w:r>
      <w:r w:rsidR="00332CC6">
        <w:t>, subject to any statutory limitations</w:t>
      </w:r>
      <w:r w:rsidR="007C6278">
        <w:t xml:space="preserve"> or other requirements affecting </w:t>
      </w:r>
      <w:r w:rsidR="00332CC6">
        <w:t>their use</w:t>
      </w:r>
      <w:r w:rsidRPr="00257CB4">
        <w:t xml:space="preserve">. Scottish local </w:t>
      </w:r>
      <w:r w:rsidR="003A7AE9">
        <w:t>government bodies</w:t>
      </w:r>
      <w:r w:rsidR="003A7AE9" w:rsidRPr="00257CB4">
        <w:t xml:space="preserve"> </w:t>
      </w:r>
      <w:r w:rsidRPr="00257CB4">
        <w:t xml:space="preserve">can only create a usable reserve for external financial reporting purposes if they have a specific statutory power to do so. </w:t>
      </w:r>
      <w:r w:rsidR="00F874DA">
        <w:t>The s</w:t>
      </w:r>
      <w:r w:rsidRPr="00257CB4">
        <w:t xml:space="preserve">tatutory powers </w:t>
      </w:r>
      <w:r w:rsidR="005A0E89">
        <w:t>in Scotland</w:t>
      </w:r>
      <w:r w:rsidRPr="00257CB4">
        <w:t xml:space="preserve"> are summarised in the following table:</w:t>
      </w:r>
    </w:p>
    <w:tbl>
      <w:tblPr>
        <w:tblStyle w:val="TableGrid"/>
        <w:tblW w:w="0" w:type="auto"/>
        <w:tblLook w:val="0620" w:firstRow="1" w:lastRow="0" w:firstColumn="0" w:lastColumn="0" w:noHBand="1" w:noVBand="1"/>
      </w:tblPr>
      <w:tblGrid>
        <w:gridCol w:w="1657"/>
        <w:gridCol w:w="3561"/>
        <w:gridCol w:w="3844"/>
      </w:tblGrid>
      <w:tr w:rsidR="00257CB4" w:rsidRPr="00257CB4" w14:paraId="389DFC1B" w14:textId="77777777" w:rsidTr="001610A8">
        <w:tc>
          <w:tcPr>
            <w:tcW w:w="1657" w:type="dxa"/>
          </w:tcPr>
          <w:p w14:paraId="3DDC168B" w14:textId="77777777" w:rsidR="00257CB4" w:rsidRPr="0095786C" w:rsidRDefault="00257CB4" w:rsidP="0095786C">
            <w:pPr>
              <w:spacing w:before="120" w:after="120"/>
              <w:rPr>
                <w:rFonts w:ascii="Verdana" w:hAnsi="Verdana"/>
                <w:b/>
                <w:sz w:val="22"/>
                <w:szCs w:val="22"/>
              </w:rPr>
            </w:pPr>
            <w:r w:rsidRPr="0095786C">
              <w:rPr>
                <w:rFonts w:ascii="Verdana" w:hAnsi="Verdana"/>
                <w:b/>
                <w:sz w:val="22"/>
                <w:szCs w:val="22"/>
              </w:rPr>
              <w:t>Usable reserve</w:t>
            </w:r>
          </w:p>
        </w:tc>
        <w:tc>
          <w:tcPr>
            <w:tcW w:w="3561" w:type="dxa"/>
          </w:tcPr>
          <w:p w14:paraId="3F59B780" w14:textId="77777777" w:rsidR="00257CB4" w:rsidRPr="0095786C" w:rsidRDefault="00257CB4" w:rsidP="0095786C">
            <w:pPr>
              <w:spacing w:before="120" w:after="120"/>
              <w:rPr>
                <w:rFonts w:ascii="Verdana" w:hAnsi="Verdana"/>
                <w:b/>
                <w:sz w:val="22"/>
                <w:szCs w:val="22"/>
              </w:rPr>
            </w:pPr>
            <w:r w:rsidRPr="0095786C">
              <w:rPr>
                <w:rFonts w:ascii="Verdana" w:hAnsi="Verdana"/>
                <w:b/>
                <w:sz w:val="22"/>
                <w:szCs w:val="22"/>
              </w:rPr>
              <w:t xml:space="preserve">Source of </w:t>
            </w:r>
            <w:r w:rsidR="00C60209" w:rsidRPr="0095786C">
              <w:rPr>
                <w:rFonts w:ascii="Verdana" w:hAnsi="Verdana"/>
                <w:b/>
                <w:sz w:val="22"/>
                <w:szCs w:val="22"/>
              </w:rPr>
              <w:t xml:space="preserve">statutory </w:t>
            </w:r>
            <w:r w:rsidRPr="0095786C">
              <w:rPr>
                <w:rFonts w:ascii="Verdana" w:hAnsi="Verdana"/>
                <w:b/>
                <w:sz w:val="22"/>
                <w:szCs w:val="22"/>
              </w:rPr>
              <w:t>power</w:t>
            </w:r>
          </w:p>
        </w:tc>
        <w:tc>
          <w:tcPr>
            <w:tcW w:w="3844" w:type="dxa"/>
          </w:tcPr>
          <w:p w14:paraId="6FE17DA4" w14:textId="77777777" w:rsidR="00257CB4" w:rsidRPr="0095786C" w:rsidRDefault="00257CB4" w:rsidP="0095786C">
            <w:pPr>
              <w:spacing w:before="120" w:after="120"/>
              <w:rPr>
                <w:rFonts w:ascii="Verdana" w:hAnsi="Verdana"/>
                <w:b/>
                <w:sz w:val="22"/>
                <w:szCs w:val="22"/>
              </w:rPr>
            </w:pPr>
            <w:r w:rsidRPr="0095786C">
              <w:rPr>
                <w:rFonts w:ascii="Verdana" w:hAnsi="Verdana"/>
                <w:b/>
                <w:sz w:val="22"/>
                <w:szCs w:val="22"/>
              </w:rPr>
              <w:t>Summary of permitted use</w:t>
            </w:r>
          </w:p>
        </w:tc>
      </w:tr>
      <w:tr w:rsidR="00257CB4" w:rsidRPr="00257CB4" w14:paraId="71F53410" w14:textId="77777777" w:rsidTr="001610A8">
        <w:tc>
          <w:tcPr>
            <w:tcW w:w="1657" w:type="dxa"/>
          </w:tcPr>
          <w:p w14:paraId="1FDD77A5" w14:textId="77777777" w:rsidR="00257CB4" w:rsidRPr="00D41B93" w:rsidRDefault="00257CB4" w:rsidP="0095786C">
            <w:pPr>
              <w:spacing w:before="120" w:after="120"/>
              <w:rPr>
                <w:rFonts w:ascii="Verdana" w:hAnsi="Verdana"/>
                <w:sz w:val="22"/>
                <w:szCs w:val="22"/>
              </w:rPr>
            </w:pPr>
            <w:r w:rsidRPr="00D41B93">
              <w:rPr>
                <w:rFonts w:ascii="Verdana" w:hAnsi="Verdana"/>
                <w:sz w:val="22"/>
                <w:szCs w:val="22"/>
              </w:rPr>
              <w:t>General Fund</w:t>
            </w:r>
          </w:p>
        </w:tc>
        <w:tc>
          <w:tcPr>
            <w:tcW w:w="3561" w:type="dxa"/>
          </w:tcPr>
          <w:p w14:paraId="3156BF12" w14:textId="77777777" w:rsidR="00257CB4" w:rsidRDefault="00B617D3" w:rsidP="0095786C">
            <w:pPr>
              <w:spacing w:before="120" w:after="120"/>
              <w:rPr>
                <w:rFonts w:ascii="Verdana" w:hAnsi="Verdana"/>
                <w:sz w:val="22"/>
                <w:szCs w:val="22"/>
              </w:rPr>
            </w:pPr>
            <w:hyperlink r:id="rId21" w:history="1">
              <w:r w:rsidR="00257CB4" w:rsidRPr="00E555F8">
                <w:rPr>
                  <w:rStyle w:val="Hyperlink"/>
                  <w:rFonts w:ascii="Verdana" w:hAnsi="Verdana"/>
                  <w:sz w:val="22"/>
                  <w:szCs w:val="22"/>
                </w:rPr>
                <w:t>Section 93</w:t>
              </w:r>
            </w:hyperlink>
            <w:r w:rsidR="00257CB4" w:rsidRPr="00E555F8">
              <w:rPr>
                <w:rFonts w:ascii="Verdana" w:hAnsi="Verdana"/>
                <w:sz w:val="22"/>
                <w:szCs w:val="22"/>
              </w:rPr>
              <w:t xml:space="preserve"> </w:t>
            </w:r>
            <w:r w:rsidR="00257CB4" w:rsidRPr="00D41B93">
              <w:rPr>
                <w:rFonts w:ascii="Verdana" w:hAnsi="Verdana"/>
                <w:sz w:val="22"/>
                <w:szCs w:val="22"/>
              </w:rPr>
              <w:t>of the Local Government (Scotland) Act 1973 (the 1973 Act)</w:t>
            </w:r>
          </w:p>
          <w:p w14:paraId="0E43B4A2" w14:textId="25E27905" w:rsidR="00E31689" w:rsidRPr="00D41B93" w:rsidRDefault="00E31689" w:rsidP="0095786C">
            <w:pPr>
              <w:spacing w:before="120" w:after="120"/>
              <w:rPr>
                <w:rFonts w:ascii="Verdana" w:hAnsi="Verdana"/>
                <w:sz w:val="22"/>
                <w:szCs w:val="22"/>
              </w:rPr>
            </w:pPr>
            <w:r>
              <w:rPr>
                <w:rFonts w:ascii="Verdana" w:hAnsi="Verdana"/>
                <w:sz w:val="22"/>
                <w:szCs w:val="22"/>
              </w:rPr>
              <w:t xml:space="preserve">Applicable to all local </w:t>
            </w:r>
            <w:r w:rsidR="003A7AE9">
              <w:rPr>
                <w:rFonts w:ascii="Verdana" w:hAnsi="Verdana"/>
                <w:sz w:val="22"/>
                <w:szCs w:val="22"/>
              </w:rPr>
              <w:t>government bodies</w:t>
            </w:r>
          </w:p>
        </w:tc>
        <w:tc>
          <w:tcPr>
            <w:tcW w:w="3844" w:type="dxa"/>
          </w:tcPr>
          <w:p w14:paraId="56756D76" w14:textId="77777777" w:rsidR="00257CB4" w:rsidRPr="00D41B93" w:rsidRDefault="00257CB4" w:rsidP="0095786C">
            <w:pPr>
              <w:spacing w:before="120" w:after="120"/>
              <w:rPr>
                <w:rFonts w:ascii="Verdana" w:hAnsi="Verdana"/>
                <w:sz w:val="22"/>
                <w:szCs w:val="22"/>
              </w:rPr>
            </w:pPr>
            <w:r w:rsidRPr="00D41B93">
              <w:rPr>
                <w:rFonts w:ascii="Verdana" w:hAnsi="Verdana"/>
                <w:sz w:val="22"/>
                <w:szCs w:val="22"/>
              </w:rPr>
              <w:t>All sums received to be credited to the General Fund and all expenses payable to be charged to it</w:t>
            </w:r>
          </w:p>
        </w:tc>
      </w:tr>
      <w:tr w:rsidR="00257CB4" w:rsidRPr="00257CB4" w14:paraId="19592DC4" w14:textId="77777777" w:rsidTr="001610A8">
        <w:tc>
          <w:tcPr>
            <w:tcW w:w="1657" w:type="dxa"/>
          </w:tcPr>
          <w:p w14:paraId="66DB2EBD" w14:textId="77777777" w:rsidR="00257CB4" w:rsidRPr="00D41B93" w:rsidRDefault="00257CB4" w:rsidP="0095786C">
            <w:pPr>
              <w:spacing w:before="120" w:after="120"/>
              <w:rPr>
                <w:rFonts w:ascii="Verdana" w:hAnsi="Verdana"/>
                <w:sz w:val="22"/>
                <w:szCs w:val="22"/>
              </w:rPr>
            </w:pPr>
            <w:r w:rsidRPr="00D41B93">
              <w:rPr>
                <w:rFonts w:ascii="Verdana" w:hAnsi="Verdana"/>
                <w:sz w:val="22"/>
                <w:szCs w:val="22"/>
              </w:rPr>
              <w:t>Capital Fund</w:t>
            </w:r>
          </w:p>
        </w:tc>
        <w:tc>
          <w:tcPr>
            <w:tcW w:w="3561" w:type="dxa"/>
            <w:vMerge w:val="restart"/>
          </w:tcPr>
          <w:p w14:paraId="5C31E14A" w14:textId="77777777" w:rsidR="00257CB4" w:rsidRDefault="00B617D3" w:rsidP="0095786C">
            <w:pPr>
              <w:spacing w:before="120" w:after="120"/>
              <w:rPr>
                <w:rFonts w:ascii="Verdana" w:hAnsi="Verdana"/>
                <w:sz w:val="22"/>
                <w:szCs w:val="22"/>
              </w:rPr>
            </w:pPr>
            <w:hyperlink r:id="rId22" w:history="1">
              <w:r w:rsidR="00257CB4" w:rsidRPr="00D41B93">
                <w:rPr>
                  <w:rStyle w:val="Hyperlink"/>
                  <w:rFonts w:ascii="Verdana" w:hAnsi="Verdana"/>
                  <w:sz w:val="22"/>
                  <w:szCs w:val="22"/>
                </w:rPr>
                <w:t>Schedule 3</w:t>
              </w:r>
            </w:hyperlink>
            <w:r w:rsidR="00257CB4" w:rsidRPr="00D41B93">
              <w:rPr>
                <w:rFonts w:ascii="Verdana" w:hAnsi="Verdana"/>
                <w:sz w:val="22"/>
                <w:szCs w:val="22"/>
              </w:rPr>
              <w:t xml:space="preserve"> of the Local Government (Scotland) Act 1975 (the 1975 Act)</w:t>
            </w:r>
          </w:p>
          <w:p w14:paraId="019CFC47" w14:textId="7C497660" w:rsidR="00E31689" w:rsidRPr="00D41B93" w:rsidRDefault="00E31689" w:rsidP="00E31689">
            <w:pPr>
              <w:spacing w:before="120" w:after="120"/>
              <w:rPr>
                <w:rFonts w:ascii="Verdana" w:hAnsi="Verdana"/>
                <w:sz w:val="22"/>
                <w:szCs w:val="22"/>
              </w:rPr>
            </w:pPr>
            <w:r>
              <w:rPr>
                <w:rFonts w:ascii="Verdana" w:hAnsi="Verdana"/>
                <w:sz w:val="22"/>
                <w:szCs w:val="22"/>
              </w:rPr>
              <w:t xml:space="preserve">Only applicable </w:t>
            </w:r>
            <w:r w:rsidR="007F0CA7">
              <w:rPr>
                <w:rFonts w:ascii="Verdana" w:hAnsi="Verdana"/>
                <w:sz w:val="22"/>
                <w:szCs w:val="22"/>
              </w:rPr>
              <w:t xml:space="preserve">to a council or </w:t>
            </w:r>
            <w:r>
              <w:rPr>
                <w:rFonts w:ascii="Verdana" w:hAnsi="Verdana"/>
                <w:sz w:val="22"/>
                <w:szCs w:val="22"/>
              </w:rPr>
              <w:t xml:space="preserve">where legislation extends this power to a </w:t>
            </w:r>
            <w:r w:rsidR="007F0CA7">
              <w:rPr>
                <w:rFonts w:ascii="Verdana" w:hAnsi="Verdana"/>
                <w:sz w:val="22"/>
                <w:szCs w:val="22"/>
              </w:rPr>
              <w:t>section 106 body</w:t>
            </w:r>
          </w:p>
        </w:tc>
        <w:tc>
          <w:tcPr>
            <w:tcW w:w="3844" w:type="dxa"/>
          </w:tcPr>
          <w:p w14:paraId="7E86EDAE" w14:textId="719A16AB" w:rsidR="00257CB4" w:rsidRPr="00D41B93" w:rsidRDefault="00257CB4" w:rsidP="0095786C">
            <w:pPr>
              <w:spacing w:before="120" w:after="120"/>
              <w:rPr>
                <w:rFonts w:ascii="Verdana" w:hAnsi="Verdana"/>
                <w:sz w:val="22"/>
                <w:szCs w:val="22"/>
              </w:rPr>
            </w:pPr>
            <w:r w:rsidRPr="00D41B93">
              <w:rPr>
                <w:rFonts w:ascii="Verdana" w:hAnsi="Verdana"/>
                <w:sz w:val="22"/>
                <w:szCs w:val="22"/>
              </w:rPr>
              <w:t xml:space="preserve">Financing capital expenditure and the </w:t>
            </w:r>
            <w:r w:rsidR="002F2F21" w:rsidRPr="002F2F21">
              <w:rPr>
                <w:rFonts w:ascii="Verdana" w:hAnsi="Verdana"/>
                <w:sz w:val="22"/>
                <w:szCs w:val="22"/>
              </w:rPr>
              <w:t>repayment of the principal of loans</w:t>
            </w:r>
            <w:r w:rsidR="002F2F21">
              <w:rPr>
                <w:rFonts w:ascii="Verdana" w:hAnsi="Verdana"/>
                <w:sz w:val="22"/>
                <w:szCs w:val="22"/>
              </w:rPr>
              <w:t>.</w:t>
            </w:r>
          </w:p>
        </w:tc>
      </w:tr>
      <w:tr w:rsidR="00257CB4" w:rsidRPr="00257CB4" w14:paraId="5BC3EB4E" w14:textId="77777777" w:rsidTr="001610A8">
        <w:tc>
          <w:tcPr>
            <w:tcW w:w="1657" w:type="dxa"/>
          </w:tcPr>
          <w:p w14:paraId="0D3D7978" w14:textId="77777777" w:rsidR="00257CB4" w:rsidRPr="00D41B93" w:rsidRDefault="00257CB4" w:rsidP="0095786C">
            <w:pPr>
              <w:spacing w:before="120" w:after="120"/>
              <w:rPr>
                <w:rFonts w:ascii="Verdana" w:hAnsi="Verdana"/>
                <w:sz w:val="22"/>
                <w:szCs w:val="22"/>
              </w:rPr>
            </w:pPr>
            <w:r w:rsidRPr="00D41B93">
              <w:rPr>
                <w:rFonts w:ascii="Verdana" w:hAnsi="Verdana"/>
                <w:sz w:val="22"/>
                <w:szCs w:val="22"/>
              </w:rPr>
              <w:t>Renewal and Repair Fund</w:t>
            </w:r>
          </w:p>
        </w:tc>
        <w:tc>
          <w:tcPr>
            <w:tcW w:w="3561" w:type="dxa"/>
            <w:vMerge/>
          </w:tcPr>
          <w:p w14:paraId="0A69AC17" w14:textId="77777777" w:rsidR="00257CB4" w:rsidRPr="00D41B93" w:rsidRDefault="00257CB4" w:rsidP="0095786C">
            <w:pPr>
              <w:spacing w:before="120" w:after="120"/>
              <w:rPr>
                <w:rFonts w:ascii="Verdana" w:hAnsi="Verdana"/>
                <w:sz w:val="22"/>
                <w:szCs w:val="22"/>
              </w:rPr>
            </w:pPr>
          </w:p>
        </w:tc>
        <w:tc>
          <w:tcPr>
            <w:tcW w:w="3844" w:type="dxa"/>
          </w:tcPr>
          <w:p w14:paraId="12FBAA60" w14:textId="77777777" w:rsidR="00257CB4" w:rsidRPr="00D41B93" w:rsidRDefault="00257CB4" w:rsidP="0095786C">
            <w:pPr>
              <w:spacing w:before="120" w:after="120"/>
              <w:rPr>
                <w:rFonts w:ascii="Verdana" w:hAnsi="Verdana"/>
                <w:sz w:val="22"/>
                <w:szCs w:val="22"/>
              </w:rPr>
            </w:pPr>
            <w:r w:rsidRPr="00D41B93">
              <w:rPr>
                <w:rFonts w:ascii="Verdana" w:hAnsi="Verdana"/>
                <w:sz w:val="22"/>
                <w:szCs w:val="22"/>
              </w:rPr>
              <w:t>Financing expenditure to be incurred in repairing, maintaining, replacing and renewing non-current assets</w:t>
            </w:r>
          </w:p>
        </w:tc>
      </w:tr>
      <w:tr w:rsidR="00257CB4" w:rsidRPr="00257CB4" w14:paraId="0C78FE89" w14:textId="77777777" w:rsidTr="001610A8">
        <w:tc>
          <w:tcPr>
            <w:tcW w:w="1657" w:type="dxa"/>
          </w:tcPr>
          <w:p w14:paraId="062705A7" w14:textId="77777777" w:rsidR="00257CB4" w:rsidRPr="00D41B93" w:rsidRDefault="00257CB4" w:rsidP="0095786C">
            <w:pPr>
              <w:spacing w:before="120" w:after="120"/>
              <w:rPr>
                <w:rFonts w:ascii="Verdana" w:hAnsi="Verdana"/>
                <w:sz w:val="22"/>
                <w:szCs w:val="22"/>
              </w:rPr>
            </w:pPr>
            <w:r w:rsidRPr="00D41B93">
              <w:rPr>
                <w:rFonts w:ascii="Verdana" w:hAnsi="Verdana"/>
                <w:sz w:val="22"/>
                <w:szCs w:val="22"/>
              </w:rPr>
              <w:t>Insurance Fund</w:t>
            </w:r>
          </w:p>
        </w:tc>
        <w:tc>
          <w:tcPr>
            <w:tcW w:w="3561" w:type="dxa"/>
            <w:vMerge/>
          </w:tcPr>
          <w:p w14:paraId="221083E1" w14:textId="77777777" w:rsidR="00257CB4" w:rsidRPr="00D41B93" w:rsidRDefault="00257CB4" w:rsidP="0095786C">
            <w:pPr>
              <w:spacing w:before="120" w:after="120"/>
              <w:rPr>
                <w:rFonts w:ascii="Verdana" w:hAnsi="Verdana"/>
                <w:sz w:val="22"/>
                <w:szCs w:val="22"/>
              </w:rPr>
            </w:pPr>
          </w:p>
        </w:tc>
        <w:tc>
          <w:tcPr>
            <w:tcW w:w="3844" w:type="dxa"/>
          </w:tcPr>
          <w:p w14:paraId="6EA008A8" w14:textId="77777777" w:rsidR="00257CB4" w:rsidRPr="00D41B93" w:rsidRDefault="00257CB4" w:rsidP="0095786C">
            <w:pPr>
              <w:spacing w:before="120" w:after="120"/>
              <w:rPr>
                <w:rFonts w:ascii="Verdana" w:hAnsi="Verdana"/>
                <w:sz w:val="22"/>
                <w:szCs w:val="22"/>
              </w:rPr>
            </w:pPr>
            <w:r w:rsidRPr="00D41B93">
              <w:rPr>
                <w:rFonts w:ascii="Verdana" w:hAnsi="Verdana"/>
                <w:sz w:val="22"/>
                <w:szCs w:val="22"/>
              </w:rPr>
              <w:t>Defraying any loss where a body could have insured against a loss but has not done so and for paying premiums on an insurance policy</w:t>
            </w:r>
          </w:p>
        </w:tc>
      </w:tr>
      <w:tr w:rsidR="00257CB4" w:rsidRPr="00257CB4" w14:paraId="13DADFE1" w14:textId="77777777" w:rsidTr="001610A8">
        <w:tc>
          <w:tcPr>
            <w:tcW w:w="1657" w:type="dxa"/>
          </w:tcPr>
          <w:p w14:paraId="18C977A8" w14:textId="77777777" w:rsidR="00257CB4" w:rsidRPr="00D41B93" w:rsidRDefault="00257CB4" w:rsidP="0095786C">
            <w:pPr>
              <w:spacing w:before="120" w:after="120"/>
              <w:rPr>
                <w:rFonts w:ascii="Verdana" w:hAnsi="Verdana"/>
                <w:sz w:val="22"/>
                <w:szCs w:val="22"/>
              </w:rPr>
            </w:pPr>
            <w:r w:rsidRPr="00D41B93">
              <w:rPr>
                <w:rFonts w:ascii="Verdana" w:hAnsi="Verdana"/>
                <w:sz w:val="22"/>
                <w:szCs w:val="22"/>
              </w:rPr>
              <w:t>Capital Grants (and Receipts) Unapplied Account</w:t>
            </w:r>
          </w:p>
        </w:tc>
        <w:tc>
          <w:tcPr>
            <w:tcW w:w="3561" w:type="dxa"/>
          </w:tcPr>
          <w:p w14:paraId="4849AE64" w14:textId="484875AD" w:rsidR="007265B3" w:rsidRPr="00381A6A" w:rsidRDefault="00257CB4" w:rsidP="00F86564">
            <w:pPr>
              <w:spacing w:before="120" w:after="120"/>
              <w:rPr>
                <w:rFonts w:ascii="Verdana" w:hAnsi="Verdana"/>
                <w:sz w:val="22"/>
                <w:szCs w:val="22"/>
              </w:rPr>
            </w:pPr>
            <w:r w:rsidRPr="00381A6A">
              <w:rPr>
                <w:rFonts w:ascii="Verdana" w:hAnsi="Verdana"/>
                <w:sz w:val="22"/>
                <w:szCs w:val="22"/>
              </w:rPr>
              <w:t>Statutory guidance</w:t>
            </w:r>
            <w:r w:rsidR="006A6C69" w:rsidRPr="00381A6A">
              <w:rPr>
                <w:rFonts w:ascii="Verdana" w:hAnsi="Verdana"/>
                <w:sz w:val="22"/>
                <w:szCs w:val="22"/>
              </w:rPr>
              <w:t xml:space="preserve"> in </w:t>
            </w:r>
            <w:r w:rsidR="007265B3" w:rsidRPr="00381A6A">
              <w:rPr>
                <w:rFonts w:ascii="Verdana" w:hAnsi="Verdana"/>
                <w:sz w:val="22"/>
                <w:szCs w:val="22"/>
              </w:rPr>
              <w:t>F</w:t>
            </w:r>
            <w:r w:rsidR="006A6C69" w:rsidRPr="00381A6A">
              <w:rPr>
                <w:rFonts w:ascii="Verdana" w:hAnsi="Verdana"/>
                <w:sz w:val="22"/>
                <w:szCs w:val="22"/>
              </w:rPr>
              <w:t xml:space="preserve">inance </w:t>
            </w:r>
            <w:r w:rsidR="007265B3" w:rsidRPr="00381A6A">
              <w:rPr>
                <w:rFonts w:ascii="Verdana" w:hAnsi="Verdana"/>
                <w:sz w:val="22"/>
                <w:szCs w:val="22"/>
              </w:rPr>
              <w:t>C</w:t>
            </w:r>
            <w:r w:rsidR="006A6C69" w:rsidRPr="00381A6A">
              <w:rPr>
                <w:rFonts w:ascii="Verdana" w:hAnsi="Verdana"/>
                <w:sz w:val="22"/>
                <w:szCs w:val="22"/>
              </w:rPr>
              <w:t>irculars</w:t>
            </w:r>
            <w:r w:rsidR="007265B3" w:rsidRPr="00381A6A">
              <w:rPr>
                <w:rFonts w:ascii="Verdana" w:hAnsi="Verdana"/>
                <w:sz w:val="22"/>
                <w:szCs w:val="22"/>
              </w:rPr>
              <w:t xml:space="preserve"> </w:t>
            </w:r>
            <w:hyperlink r:id="rId23" w:history="1">
              <w:r w:rsidR="00F86564" w:rsidRPr="00381A6A">
                <w:rPr>
                  <w:rStyle w:val="Hyperlink"/>
                  <w:rFonts w:ascii="Verdana" w:hAnsi="Verdana"/>
                  <w:sz w:val="22"/>
                  <w:szCs w:val="22"/>
                </w:rPr>
                <w:t>7/2018</w:t>
              </w:r>
            </w:hyperlink>
            <w:r w:rsidR="00F86564" w:rsidRPr="00381A6A">
              <w:rPr>
                <w:rFonts w:ascii="Verdana" w:hAnsi="Verdana"/>
                <w:sz w:val="22"/>
                <w:szCs w:val="22"/>
              </w:rPr>
              <w:t xml:space="preserve">, </w:t>
            </w:r>
            <w:hyperlink r:id="rId24" w:history="1">
              <w:r w:rsidR="007265B3" w:rsidRPr="00381A6A">
                <w:rPr>
                  <w:rStyle w:val="Hyperlink"/>
                  <w:rFonts w:ascii="Verdana" w:hAnsi="Verdana"/>
                  <w:sz w:val="22"/>
                  <w:szCs w:val="22"/>
                </w:rPr>
                <w:t>1/2019</w:t>
              </w:r>
            </w:hyperlink>
            <w:r w:rsidR="00F86564" w:rsidRPr="00381A6A">
              <w:rPr>
                <w:rFonts w:ascii="Verdana" w:hAnsi="Verdana"/>
                <w:sz w:val="22"/>
                <w:szCs w:val="22"/>
              </w:rPr>
              <w:t xml:space="preserve"> and </w:t>
            </w:r>
            <w:hyperlink r:id="rId25" w:history="1">
              <w:r w:rsidR="007265B3" w:rsidRPr="00381A6A">
                <w:rPr>
                  <w:rStyle w:val="Hyperlink"/>
                  <w:rFonts w:ascii="Verdana" w:hAnsi="Verdana"/>
                  <w:sz w:val="22"/>
                  <w:szCs w:val="22"/>
                </w:rPr>
                <w:t>4/2019</w:t>
              </w:r>
            </w:hyperlink>
            <w:r w:rsidR="007265B3" w:rsidRPr="00381A6A">
              <w:rPr>
                <w:rFonts w:ascii="Verdana" w:hAnsi="Verdana"/>
                <w:sz w:val="22"/>
                <w:szCs w:val="22"/>
              </w:rPr>
              <w:t>.</w:t>
            </w:r>
          </w:p>
          <w:p w14:paraId="0400301E" w14:textId="12C39E15" w:rsidR="007265B3" w:rsidRPr="00D41B93" w:rsidRDefault="00E31689" w:rsidP="0095786C">
            <w:pPr>
              <w:spacing w:before="120" w:after="120"/>
              <w:rPr>
                <w:rFonts w:ascii="Verdana" w:hAnsi="Verdana"/>
                <w:sz w:val="22"/>
                <w:szCs w:val="22"/>
              </w:rPr>
            </w:pPr>
            <w:r>
              <w:rPr>
                <w:rFonts w:ascii="Verdana" w:hAnsi="Verdana"/>
                <w:sz w:val="22"/>
                <w:szCs w:val="22"/>
              </w:rPr>
              <w:t xml:space="preserve">Applicable to </w:t>
            </w:r>
            <w:r w:rsidR="007F0CA7">
              <w:rPr>
                <w:rFonts w:ascii="Verdana" w:hAnsi="Verdana"/>
                <w:sz w:val="22"/>
                <w:szCs w:val="22"/>
              </w:rPr>
              <w:t xml:space="preserve">all </w:t>
            </w:r>
            <w:r>
              <w:rPr>
                <w:rFonts w:ascii="Verdana" w:hAnsi="Verdana"/>
                <w:sz w:val="22"/>
                <w:szCs w:val="22"/>
              </w:rPr>
              <w:t xml:space="preserve">local </w:t>
            </w:r>
            <w:r w:rsidR="007F0CA7">
              <w:rPr>
                <w:rFonts w:ascii="Verdana" w:hAnsi="Verdana"/>
                <w:sz w:val="22"/>
                <w:szCs w:val="22"/>
              </w:rPr>
              <w:t>government bodies under</w:t>
            </w:r>
            <w:r>
              <w:rPr>
                <w:rFonts w:ascii="Verdana" w:hAnsi="Verdana"/>
                <w:sz w:val="22"/>
                <w:szCs w:val="22"/>
              </w:rPr>
              <w:t xml:space="preserve"> s</w:t>
            </w:r>
            <w:r w:rsidR="003D2419">
              <w:rPr>
                <w:rFonts w:ascii="Verdana" w:hAnsi="Verdana"/>
                <w:sz w:val="22"/>
                <w:szCs w:val="22"/>
              </w:rPr>
              <w:t xml:space="preserve">ection </w:t>
            </w:r>
            <w:r>
              <w:rPr>
                <w:rFonts w:ascii="Verdana" w:hAnsi="Verdana"/>
                <w:sz w:val="22"/>
                <w:szCs w:val="22"/>
              </w:rPr>
              <w:t xml:space="preserve">12 </w:t>
            </w:r>
            <w:r w:rsidR="00DF4F82">
              <w:rPr>
                <w:rFonts w:ascii="Verdana" w:hAnsi="Verdana"/>
                <w:sz w:val="22"/>
                <w:szCs w:val="22"/>
              </w:rPr>
              <w:t xml:space="preserve">[proper accounting practices] </w:t>
            </w:r>
            <w:r>
              <w:rPr>
                <w:rFonts w:ascii="Verdana" w:hAnsi="Verdana"/>
                <w:sz w:val="22"/>
                <w:szCs w:val="22"/>
              </w:rPr>
              <w:t xml:space="preserve">of the Local Government (Scotland) </w:t>
            </w:r>
            <w:r w:rsidR="003D2419">
              <w:rPr>
                <w:rFonts w:ascii="Verdana" w:hAnsi="Verdana"/>
                <w:sz w:val="22"/>
                <w:szCs w:val="22"/>
              </w:rPr>
              <w:t>Act 2003</w:t>
            </w:r>
          </w:p>
        </w:tc>
        <w:tc>
          <w:tcPr>
            <w:tcW w:w="3844" w:type="dxa"/>
          </w:tcPr>
          <w:p w14:paraId="16429856" w14:textId="6761D751" w:rsidR="00257CB4" w:rsidRPr="00D41B93" w:rsidRDefault="00257CB4" w:rsidP="002D14EF">
            <w:pPr>
              <w:spacing w:before="120" w:after="120"/>
              <w:rPr>
                <w:rFonts w:ascii="Verdana" w:hAnsi="Verdana"/>
                <w:sz w:val="22"/>
                <w:szCs w:val="22"/>
              </w:rPr>
            </w:pPr>
            <w:r w:rsidRPr="00D41B93">
              <w:rPr>
                <w:rFonts w:ascii="Verdana" w:hAnsi="Verdana"/>
                <w:sz w:val="22"/>
                <w:szCs w:val="22"/>
              </w:rPr>
              <w:t>Holding unused capital grant at the year end and capital receipts that will be used to fund equal pay, premiums on repaying loans early, or qualifying expenditure on transformation projects</w:t>
            </w:r>
            <w:r w:rsidR="002F2F21">
              <w:rPr>
                <w:rFonts w:ascii="Verdana" w:hAnsi="Verdana"/>
                <w:sz w:val="22"/>
                <w:szCs w:val="22"/>
              </w:rPr>
              <w:t xml:space="preserve"> (Note: time limitations apply t</w:t>
            </w:r>
            <w:r w:rsidR="002D14EF">
              <w:rPr>
                <w:rFonts w:ascii="Verdana" w:hAnsi="Verdana"/>
                <w:sz w:val="22"/>
                <w:szCs w:val="22"/>
              </w:rPr>
              <w:t xml:space="preserve">o some </w:t>
            </w:r>
            <w:r w:rsidR="002F2F21">
              <w:rPr>
                <w:rFonts w:ascii="Verdana" w:hAnsi="Verdana"/>
                <w:sz w:val="22"/>
                <w:szCs w:val="22"/>
              </w:rPr>
              <w:t>application</w:t>
            </w:r>
            <w:r w:rsidR="002D14EF">
              <w:rPr>
                <w:rFonts w:ascii="Verdana" w:hAnsi="Verdana"/>
                <w:sz w:val="22"/>
                <w:szCs w:val="22"/>
              </w:rPr>
              <w:t>s</w:t>
            </w:r>
            <w:r w:rsidR="002F2F21">
              <w:rPr>
                <w:rFonts w:ascii="Verdana" w:hAnsi="Verdana"/>
                <w:sz w:val="22"/>
                <w:szCs w:val="22"/>
              </w:rPr>
              <w:t>).</w:t>
            </w:r>
          </w:p>
        </w:tc>
      </w:tr>
    </w:tbl>
    <w:p w14:paraId="7825A14D" w14:textId="57310A59" w:rsidR="00B90E5A" w:rsidRDefault="002D63E9" w:rsidP="00DE6BB1">
      <w:pPr>
        <w:pStyle w:val="ListParagraph"/>
        <w:numPr>
          <w:ilvl w:val="0"/>
          <w:numId w:val="15"/>
        </w:numPr>
        <w:spacing w:before="120" w:after="120"/>
      </w:pPr>
      <w:r>
        <w:t>LASAAC considers it important that p</w:t>
      </w:r>
      <w:r w:rsidR="00B90E5A">
        <w:t xml:space="preserve">ractitioners </w:t>
      </w:r>
      <w:r>
        <w:t>are</w:t>
      </w:r>
      <w:r w:rsidR="00B90E5A">
        <w:t xml:space="preserve"> clear regarding the </w:t>
      </w:r>
      <w:r w:rsidR="009A2F5E">
        <w:t xml:space="preserve">specific </w:t>
      </w:r>
      <w:r w:rsidR="00B90E5A" w:rsidRPr="00257CB4">
        <w:t xml:space="preserve">statutory power </w:t>
      </w:r>
      <w:r w:rsidR="00B90E5A">
        <w:t xml:space="preserve">that applies </w:t>
      </w:r>
      <w:r w:rsidR="00B90E5A" w:rsidRPr="00257CB4">
        <w:t xml:space="preserve">for each usable reserve that the </w:t>
      </w:r>
      <w:r w:rsidR="006C3CAA">
        <w:t xml:space="preserve">local </w:t>
      </w:r>
      <w:r w:rsidR="007F0CA7">
        <w:t>government body</w:t>
      </w:r>
      <w:r w:rsidR="007F0CA7" w:rsidRPr="00257CB4">
        <w:t xml:space="preserve"> </w:t>
      </w:r>
      <w:r w:rsidR="00B90E5A" w:rsidRPr="00257CB4">
        <w:t>specifically presents</w:t>
      </w:r>
      <w:r w:rsidR="006C3CAA">
        <w:t>,</w:t>
      </w:r>
      <w:r w:rsidR="00B90E5A" w:rsidRPr="00257CB4">
        <w:t xml:space="preserve"> and describes as such</w:t>
      </w:r>
      <w:r w:rsidR="006C3CAA">
        <w:t>,</w:t>
      </w:r>
      <w:r w:rsidR="00B90E5A" w:rsidRPr="00257CB4">
        <w:t xml:space="preserve"> in the Movement in Reserves Statement (MiRS) or notes. </w:t>
      </w:r>
    </w:p>
    <w:p w14:paraId="3CEA31FE" w14:textId="5F491332" w:rsidR="00A359D3" w:rsidRDefault="00A359D3" w:rsidP="00A359D3">
      <w:pPr>
        <w:pStyle w:val="ListParagraph"/>
        <w:spacing w:before="120" w:after="120"/>
        <w:jc w:val="both"/>
      </w:pPr>
    </w:p>
    <w:p w14:paraId="11724586" w14:textId="77777777" w:rsidR="00A359D3" w:rsidRDefault="00A359D3" w:rsidP="00A359D3">
      <w:pPr>
        <w:pStyle w:val="ListParagraph"/>
        <w:spacing w:before="120" w:after="120"/>
        <w:jc w:val="both"/>
      </w:pPr>
    </w:p>
    <w:p w14:paraId="794EEA21" w14:textId="0C66CCE9" w:rsidR="00F21F75" w:rsidRDefault="00F874DA" w:rsidP="00DE6BB1">
      <w:pPr>
        <w:pStyle w:val="ListParagraph"/>
        <w:numPr>
          <w:ilvl w:val="0"/>
          <w:numId w:val="15"/>
        </w:numPr>
        <w:spacing w:before="120" w:after="120"/>
        <w:jc w:val="both"/>
      </w:pPr>
      <w:r>
        <w:lastRenderedPageBreak/>
        <w:t>Other legislation, more local in nature, may provide an individual authority with the power to hold a specific reserve</w:t>
      </w:r>
      <w:r w:rsidR="002D5D29">
        <w:rPr>
          <w:rStyle w:val="FootnoteReference"/>
        </w:rPr>
        <w:footnoteReference w:id="4"/>
      </w:r>
      <w:r w:rsidR="00F21F75">
        <w:t xml:space="preserve">. It is not the intention of this </w:t>
      </w:r>
      <w:r w:rsidR="00B90E5A">
        <w:t>guidance</w:t>
      </w:r>
      <w:r w:rsidR="00F21F75">
        <w:t xml:space="preserve"> to address each and every local power which may be available. In such cases</w:t>
      </w:r>
      <w:r w:rsidR="00B90E5A">
        <w:t>,</w:t>
      </w:r>
      <w:r w:rsidR="00F21F75">
        <w:t xml:space="preserve"> local authorities should have regard to the </w:t>
      </w:r>
      <w:r w:rsidR="009F00A1">
        <w:t>principles</w:t>
      </w:r>
      <w:r w:rsidR="00F21F75">
        <w:t xml:space="preserve"> addressed in this </w:t>
      </w:r>
      <w:r w:rsidR="009F00A1">
        <w:t>guidance</w:t>
      </w:r>
      <w:r w:rsidR="00F21F75">
        <w:t xml:space="preserve">. </w:t>
      </w:r>
    </w:p>
    <w:p w14:paraId="13C72FA1" w14:textId="3C8765F1" w:rsidR="00DC1688" w:rsidRPr="00DC1688" w:rsidRDefault="00257CB4" w:rsidP="00DE6BB1">
      <w:pPr>
        <w:pStyle w:val="ListParagraph"/>
        <w:numPr>
          <w:ilvl w:val="0"/>
          <w:numId w:val="15"/>
        </w:numPr>
      </w:pPr>
      <w:r>
        <w:t xml:space="preserve">Scottish </w:t>
      </w:r>
      <w:r w:rsidR="00C60209">
        <w:t xml:space="preserve">local </w:t>
      </w:r>
      <w:r w:rsidR="007F0CA7">
        <w:t>government bodies</w:t>
      </w:r>
      <w:r w:rsidR="007F0CA7" w:rsidRPr="00257CB4">
        <w:t xml:space="preserve"> </w:t>
      </w:r>
      <w:r>
        <w:t xml:space="preserve">should </w:t>
      </w:r>
      <w:r w:rsidR="00915B0D">
        <w:t>clearly identify and present a single General Fund balance</w:t>
      </w:r>
      <w:r w:rsidR="007C6278">
        <w:t xml:space="preserve"> (</w:t>
      </w:r>
      <w:r w:rsidR="00915B0D">
        <w:t>excluding the HRA</w:t>
      </w:r>
      <w:r w:rsidR="007C6278">
        <w:t>)</w:t>
      </w:r>
      <w:r w:rsidR="00915B0D">
        <w:t xml:space="preserve"> in the primary financial statements. In Scotland the ear-marking of General Fund balances, as a financial planning and management practice, should not obscure transparency regarding the overall General Fund position</w:t>
      </w:r>
      <w:r w:rsidR="007C6278">
        <w:t xml:space="preserve"> (</w:t>
      </w:r>
      <w:r w:rsidR="00915B0D">
        <w:t>excluding the HRA</w:t>
      </w:r>
      <w:r w:rsidR="007C6278">
        <w:t>)</w:t>
      </w:r>
      <w:r w:rsidR="00915B0D">
        <w:t xml:space="preserve">. </w:t>
      </w:r>
      <w:r w:rsidR="00DC1688" w:rsidRPr="00DC1688">
        <w:t xml:space="preserve">For the avoidance of doubt, local authorities </w:t>
      </w:r>
      <w:r w:rsidR="00434A18">
        <w:t xml:space="preserve">in Scotland </w:t>
      </w:r>
      <w:r w:rsidR="00DC1688" w:rsidRPr="00DC1688">
        <w:t>are not permitted to disclose separate reserves which relate to devolved school management or for significant trading operations.</w:t>
      </w:r>
    </w:p>
    <w:p w14:paraId="33245B80" w14:textId="315EA339" w:rsidR="00165CB4" w:rsidRDefault="006A6C69" w:rsidP="00DE6BB1">
      <w:pPr>
        <w:pStyle w:val="ListParagraph"/>
        <w:numPr>
          <w:ilvl w:val="0"/>
          <w:numId w:val="15"/>
        </w:numPr>
        <w:spacing w:before="120" w:after="120"/>
      </w:pPr>
      <w:r>
        <w:t xml:space="preserve">Scottish </w:t>
      </w:r>
      <w:r w:rsidR="00434A18">
        <w:t xml:space="preserve">local </w:t>
      </w:r>
      <w:r w:rsidR="007F0CA7">
        <w:t xml:space="preserve">government bodies </w:t>
      </w:r>
      <w:r>
        <w:t xml:space="preserve">can earmark part of the General Fund </w:t>
      </w:r>
      <w:r w:rsidR="00FE4812">
        <w:t xml:space="preserve">balance </w:t>
      </w:r>
      <w:r>
        <w:t xml:space="preserve">(or other statutory fund) but </w:t>
      </w:r>
      <w:r w:rsidR="00B83C56">
        <w:t xml:space="preserve">important distinction is that </w:t>
      </w:r>
      <w:r w:rsidR="00257CB4" w:rsidRPr="00257CB4">
        <w:t>the</w:t>
      </w:r>
      <w:r>
        <w:t xml:space="preserve"> earmarked parts</w:t>
      </w:r>
      <w:r w:rsidR="00257CB4" w:rsidRPr="00257CB4">
        <w:t xml:space="preserve"> </w:t>
      </w:r>
      <w:r>
        <w:t xml:space="preserve">remain part of the General Fund and should not be described or presented as separate reserves. </w:t>
      </w:r>
      <w:r w:rsidR="008948EB">
        <w:t xml:space="preserve">The same overall effect can nevertheless be achieved. </w:t>
      </w:r>
    </w:p>
    <w:p w14:paraId="64A757AF" w14:textId="16A87EED" w:rsidR="00165CB4" w:rsidRDefault="00165CB4" w:rsidP="00DE6BB1">
      <w:pPr>
        <w:pStyle w:val="ListParagraph"/>
        <w:numPr>
          <w:ilvl w:val="0"/>
          <w:numId w:val="15"/>
        </w:numPr>
        <w:spacing w:before="120" w:after="120"/>
      </w:pPr>
      <w:r>
        <w:t xml:space="preserve">It is recommended that local </w:t>
      </w:r>
      <w:r w:rsidR="007F0CA7">
        <w:t xml:space="preserve">government bodies </w:t>
      </w:r>
      <w:r>
        <w:t xml:space="preserve">draw a distinction between </w:t>
      </w:r>
    </w:p>
    <w:p w14:paraId="7107AB71" w14:textId="213D847D" w:rsidR="00165CB4" w:rsidRDefault="00165CB4" w:rsidP="0031088A">
      <w:pPr>
        <w:pStyle w:val="ListParagraph"/>
        <w:numPr>
          <w:ilvl w:val="1"/>
          <w:numId w:val="15"/>
        </w:numPr>
        <w:spacing w:before="120" w:after="120"/>
      </w:pPr>
      <w:r>
        <w:t xml:space="preserve">‘mandatory earmarked balances’ , for example gains on financial instruments classified as fair value through profit or loss; or council tax income </w:t>
      </w:r>
      <w:r w:rsidR="00D813C5">
        <w:t xml:space="preserve">arising </w:t>
      </w:r>
      <w:r>
        <w:t>from</w:t>
      </w:r>
      <w:r w:rsidR="00D813C5">
        <w:t xml:space="preserve"> the removal of some council tax discounts </w:t>
      </w:r>
      <w:r>
        <w:t xml:space="preserve">which must be used for specific purposes; and </w:t>
      </w:r>
    </w:p>
    <w:p w14:paraId="7F7038BE" w14:textId="77777777" w:rsidR="00165CB4" w:rsidRDefault="00165CB4" w:rsidP="0031088A">
      <w:pPr>
        <w:pStyle w:val="ListParagraph"/>
        <w:numPr>
          <w:ilvl w:val="1"/>
          <w:numId w:val="15"/>
        </w:numPr>
        <w:spacing w:before="120" w:after="120"/>
      </w:pPr>
      <w:r>
        <w:t>‘voluntary earmarked balances’, for example reflecting the authority’s discretionary financial management plans for the use of funds.</w:t>
      </w:r>
    </w:p>
    <w:p w14:paraId="16CA2922" w14:textId="0F3DBAC0" w:rsidR="00C52249" w:rsidRDefault="006A6C69" w:rsidP="00165CB4">
      <w:pPr>
        <w:pStyle w:val="ListParagraph"/>
        <w:numPr>
          <w:ilvl w:val="0"/>
          <w:numId w:val="15"/>
        </w:numPr>
        <w:spacing w:before="120" w:after="120"/>
      </w:pPr>
      <w:r>
        <w:t>T</w:t>
      </w:r>
      <w:r w:rsidR="00257CB4">
        <w:t xml:space="preserve">he </w:t>
      </w:r>
      <w:r w:rsidR="00257CB4" w:rsidRPr="00257CB4">
        <w:t xml:space="preserve">section </w:t>
      </w:r>
      <w:r w:rsidR="00257CB4">
        <w:t>of this guidance on Presentation and Disclosures</w:t>
      </w:r>
      <w:r w:rsidR="00257CB4" w:rsidRPr="00257CB4">
        <w:t xml:space="preserve"> explains </w:t>
      </w:r>
      <w:r w:rsidR="00B83C56">
        <w:t xml:space="preserve">how </w:t>
      </w:r>
      <w:r>
        <w:t>earmarked parts of the General Fund or other statutory fund should be disclosed</w:t>
      </w:r>
      <w:r w:rsidR="00257CB4" w:rsidRPr="00257CB4">
        <w:t>.</w:t>
      </w:r>
    </w:p>
    <w:p w14:paraId="7CFFEA2A" w14:textId="77777777" w:rsidR="006A6C69" w:rsidRDefault="006A6C69" w:rsidP="0095786C">
      <w:pPr>
        <w:pStyle w:val="Subtitle"/>
        <w:spacing w:before="120" w:after="120"/>
      </w:pPr>
      <w:r>
        <w:t>Accounting treatment</w:t>
      </w:r>
    </w:p>
    <w:p w14:paraId="00C74D2A" w14:textId="57799E62" w:rsidR="004544CB" w:rsidRDefault="004544CB" w:rsidP="00DE6BB1">
      <w:pPr>
        <w:pStyle w:val="ListParagraph"/>
        <w:numPr>
          <w:ilvl w:val="0"/>
          <w:numId w:val="15"/>
        </w:numPr>
        <w:spacing w:before="120" w:after="120"/>
      </w:pPr>
      <w:r>
        <w:t xml:space="preserve">The Code requires items meeting the definition of income or expenses to be recognised in the </w:t>
      </w:r>
      <w:r w:rsidR="003B6713">
        <w:t>C</w:t>
      </w:r>
      <w:r>
        <w:t xml:space="preserve">omprehensive </w:t>
      </w:r>
      <w:r w:rsidR="003B6713">
        <w:t>I</w:t>
      </w:r>
      <w:r>
        <w:t xml:space="preserve">ncome and </w:t>
      </w:r>
      <w:r w:rsidR="003B6713">
        <w:t>E</w:t>
      </w:r>
      <w:r>
        <w:t xml:space="preserve">xpenditure </w:t>
      </w:r>
      <w:r w:rsidR="003B6713">
        <w:t>S</w:t>
      </w:r>
      <w:r>
        <w:t>tatement</w:t>
      </w:r>
      <w:r w:rsidR="003B6713">
        <w:t xml:space="preserve"> (CIES)</w:t>
      </w:r>
      <w:r>
        <w:t>. This means:</w:t>
      </w:r>
    </w:p>
    <w:p w14:paraId="78E7FA21" w14:textId="382BAE04" w:rsidR="004544CB" w:rsidRDefault="004544CB" w:rsidP="003B6713">
      <w:pPr>
        <w:pStyle w:val="ListParagraph"/>
        <w:numPr>
          <w:ilvl w:val="0"/>
          <w:numId w:val="37"/>
        </w:numPr>
        <w:spacing w:before="120" w:after="120"/>
      </w:pPr>
      <w:r>
        <w:t xml:space="preserve">Income cannot be credited directly to a reserve. It must first be </w:t>
      </w:r>
      <w:r w:rsidR="00BE2F07">
        <w:t>recognised as income</w:t>
      </w:r>
      <w:r>
        <w:t xml:space="preserve"> </w:t>
      </w:r>
      <w:r w:rsidR="00BE2F07">
        <w:t>in</w:t>
      </w:r>
      <w:r>
        <w:t xml:space="preserve"> the CIES</w:t>
      </w:r>
      <w:r w:rsidR="00BE2F07">
        <w:t>, and then either remain in the General Fund or be transferred via the M</w:t>
      </w:r>
      <w:r w:rsidR="009B7D8E">
        <w:t>iRS</w:t>
      </w:r>
      <w:r w:rsidR="00BE2F07">
        <w:t xml:space="preserve"> to one of the other</w:t>
      </w:r>
      <w:r w:rsidR="007C6278">
        <w:t xml:space="preserve"> </w:t>
      </w:r>
      <w:r w:rsidR="00BE2F07">
        <w:t>reserves.</w:t>
      </w:r>
    </w:p>
    <w:p w14:paraId="7673B4D4" w14:textId="7EBF97FB" w:rsidR="00BE2F07" w:rsidRDefault="00BE2F07" w:rsidP="003B6713">
      <w:pPr>
        <w:pStyle w:val="ListParagraph"/>
        <w:numPr>
          <w:ilvl w:val="0"/>
          <w:numId w:val="37"/>
        </w:numPr>
        <w:spacing w:before="120" w:after="120"/>
      </w:pPr>
      <w:r>
        <w:t xml:space="preserve">Expenditure cannot be debited directly to a reserve. </w:t>
      </w:r>
      <w:r w:rsidRPr="00BE2F07">
        <w:t xml:space="preserve">It must first be recognised as </w:t>
      </w:r>
      <w:r>
        <w:t>an expense</w:t>
      </w:r>
      <w:r w:rsidRPr="00BE2F07">
        <w:t xml:space="preserve"> in the CIES, and then </w:t>
      </w:r>
      <w:r>
        <w:t xml:space="preserve">an equivalent amount is </w:t>
      </w:r>
      <w:r w:rsidRPr="00BE2F07">
        <w:t xml:space="preserve">transferred via the </w:t>
      </w:r>
      <w:r w:rsidR="009B7D8E">
        <w:t>MIRs</w:t>
      </w:r>
      <w:r w:rsidRPr="00BE2F07">
        <w:t xml:space="preserve"> to </w:t>
      </w:r>
      <w:r>
        <w:t xml:space="preserve">the General Fund from </w:t>
      </w:r>
      <w:r w:rsidRPr="00BE2F07">
        <w:t>one of the other reserves.</w:t>
      </w:r>
    </w:p>
    <w:p w14:paraId="2A1F98C4" w14:textId="77777777" w:rsidR="00FF1C96" w:rsidRDefault="00FF1C96" w:rsidP="0095786C">
      <w:pPr>
        <w:spacing w:before="120" w:after="120"/>
        <w:rPr>
          <w:rFonts w:ascii="Verdana" w:hAnsi="Verdana"/>
          <w:b/>
          <w:sz w:val="22"/>
          <w:szCs w:val="22"/>
        </w:rPr>
      </w:pPr>
    </w:p>
    <w:p w14:paraId="4FED2386" w14:textId="5A5FD949" w:rsidR="00257CB4" w:rsidRPr="00BD1998" w:rsidRDefault="00257CB4" w:rsidP="0095786C">
      <w:pPr>
        <w:spacing w:before="120" w:after="120"/>
        <w:rPr>
          <w:rFonts w:ascii="Verdana" w:hAnsi="Verdana"/>
          <w:b/>
          <w:sz w:val="22"/>
          <w:szCs w:val="22"/>
        </w:rPr>
      </w:pPr>
      <w:r w:rsidRPr="00BD1998">
        <w:rPr>
          <w:rFonts w:ascii="Verdana" w:hAnsi="Verdana"/>
          <w:b/>
          <w:sz w:val="22"/>
          <w:szCs w:val="22"/>
        </w:rPr>
        <w:lastRenderedPageBreak/>
        <w:t xml:space="preserve">General Fund </w:t>
      </w:r>
    </w:p>
    <w:p w14:paraId="3B3E078D" w14:textId="6339ADC4" w:rsidR="001D4962" w:rsidRPr="001D4962" w:rsidRDefault="00257CB4" w:rsidP="00DE6BB1">
      <w:pPr>
        <w:pStyle w:val="ListParagraph"/>
        <w:numPr>
          <w:ilvl w:val="0"/>
          <w:numId w:val="15"/>
        </w:numPr>
      </w:pPr>
      <w:r>
        <w:t xml:space="preserve">The </w:t>
      </w:r>
      <w:r w:rsidRPr="00257CB4">
        <w:t xml:space="preserve">General Fund </w:t>
      </w:r>
      <w:r>
        <w:t xml:space="preserve">is required to be operated </w:t>
      </w:r>
      <w:r w:rsidRPr="00257CB4">
        <w:t xml:space="preserve">in accordance with </w:t>
      </w:r>
      <w:hyperlink r:id="rId26" w:history="1">
        <w:r w:rsidRPr="00257CB4">
          <w:rPr>
            <w:rStyle w:val="Hyperlink"/>
          </w:rPr>
          <w:t xml:space="preserve">Section 93 </w:t>
        </w:r>
      </w:hyperlink>
      <w:r w:rsidRPr="00257CB4">
        <w:t>of the 1973 Act.</w:t>
      </w:r>
      <w:r w:rsidR="001D4962">
        <w:t xml:space="preserve"> </w:t>
      </w:r>
      <w:r w:rsidR="001D4962" w:rsidRPr="001D4962">
        <w:t xml:space="preserve">The requirement for a General Fund applies to local authorities and, </w:t>
      </w:r>
      <w:hyperlink r:id="rId27" w:history="1">
        <w:r w:rsidR="001D4962" w:rsidRPr="00BE5517">
          <w:rPr>
            <w:rStyle w:val="Hyperlink"/>
          </w:rPr>
          <w:t>under section 106</w:t>
        </w:r>
      </w:hyperlink>
      <w:r w:rsidR="001D4962" w:rsidRPr="001D4962">
        <w:t xml:space="preserve">, </w:t>
      </w:r>
      <w:r w:rsidR="004C773E">
        <w:t xml:space="preserve">also to </w:t>
      </w:r>
      <w:r w:rsidR="001D4962" w:rsidRPr="001D4962">
        <w:t xml:space="preserve">joint boards, </w:t>
      </w:r>
      <w:r w:rsidR="004C773E">
        <w:t>regional transpor</w:t>
      </w:r>
      <w:r w:rsidR="00E44C73">
        <w:t>t partnerships</w:t>
      </w:r>
      <w:r w:rsidR="003D2419">
        <w:t>, integration joint boards,</w:t>
      </w:r>
      <w:r w:rsidR="00E44C73">
        <w:t xml:space="preserve"> </w:t>
      </w:r>
      <w:r w:rsidR="001D4962" w:rsidRPr="001D4962">
        <w:t>joint committees etc.</w:t>
      </w:r>
    </w:p>
    <w:p w14:paraId="5778A4EB" w14:textId="2538BB70" w:rsidR="00257CB4" w:rsidRDefault="00257CB4" w:rsidP="00DE6BB1">
      <w:pPr>
        <w:pStyle w:val="ListParagraph"/>
        <w:numPr>
          <w:ilvl w:val="0"/>
          <w:numId w:val="15"/>
        </w:numPr>
        <w:spacing w:before="120" w:after="120"/>
      </w:pPr>
      <w:r w:rsidRPr="00257CB4">
        <w:t xml:space="preserve">As a general rule, income and expenditure recognised in the CIES is </w:t>
      </w:r>
      <w:r w:rsidR="00954E29">
        <w:t xml:space="preserve">automatically </w:t>
      </w:r>
      <w:r w:rsidRPr="00257CB4">
        <w:t>credited or charged to the General Fund unless overridden by legislation or statutory guidance. There are also other funding adjustments that are unique to local government accounting.</w:t>
      </w:r>
    </w:p>
    <w:p w14:paraId="3AC9642D" w14:textId="77777777" w:rsidR="00257CB4" w:rsidRPr="00257CB4" w:rsidRDefault="00257CB4" w:rsidP="00DE6BB1">
      <w:pPr>
        <w:pStyle w:val="ListParagraph"/>
        <w:numPr>
          <w:ilvl w:val="0"/>
          <w:numId w:val="15"/>
        </w:numPr>
        <w:spacing w:before="120" w:after="120"/>
      </w:pPr>
      <w:r w:rsidRPr="00257CB4">
        <w:t>A summary of the main debits and credits to the General Fund is provided in the following table:</w:t>
      </w:r>
    </w:p>
    <w:tbl>
      <w:tblPr>
        <w:tblStyle w:val="TableGrid"/>
        <w:tblW w:w="0" w:type="auto"/>
        <w:tblLook w:val="0620" w:firstRow="1" w:lastRow="0" w:firstColumn="0" w:lastColumn="0" w:noHBand="1" w:noVBand="1"/>
      </w:tblPr>
      <w:tblGrid>
        <w:gridCol w:w="4529"/>
        <w:gridCol w:w="4533"/>
      </w:tblGrid>
      <w:tr w:rsidR="00257CB4" w:rsidRPr="00257CB4" w14:paraId="73CEC5E1" w14:textId="77777777" w:rsidTr="0095786C">
        <w:tc>
          <w:tcPr>
            <w:tcW w:w="4529" w:type="dxa"/>
          </w:tcPr>
          <w:p w14:paraId="5B14DD93" w14:textId="77777777" w:rsidR="00257CB4" w:rsidRPr="0095786C" w:rsidRDefault="00257CB4" w:rsidP="0095786C">
            <w:pPr>
              <w:spacing w:before="120" w:after="120"/>
              <w:rPr>
                <w:rFonts w:ascii="Verdana" w:hAnsi="Verdana"/>
                <w:b/>
                <w:sz w:val="22"/>
                <w:szCs w:val="22"/>
              </w:rPr>
            </w:pPr>
            <w:r w:rsidRPr="0095786C">
              <w:rPr>
                <w:rFonts w:ascii="Verdana" w:hAnsi="Verdana"/>
                <w:b/>
                <w:sz w:val="22"/>
                <w:szCs w:val="22"/>
              </w:rPr>
              <w:t>Debits</w:t>
            </w:r>
          </w:p>
        </w:tc>
        <w:tc>
          <w:tcPr>
            <w:tcW w:w="4533" w:type="dxa"/>
          </w:tcPr>
          <w:p w14:paraId="4A853854" w14:textId="77777777" w:rsidR="00257CB4" w:rsidRPr="0095786C" w:rsidRDefault="00257CB4" w:rsidP="0095786C">
            <w:pPr>
              <w:spacing w:before="120" w:after="120"/>
              <w:rPr>
                <w:rFonts w:ascii="Verdana" w:hAnsi="Verdana"/>
                <w:b/>
                <w:sz w:val="22"/>
                <w:szCs w:val="22"/>
              </w:rPr>
            </w:pPr>
            <w:r w:rsidRPr="0095786C">
              <w:rPr>
                <w:rFonts w:ascii="Verdana" w:hAnsi="Verdana"/>
                <w:b/>
                <w:sz w:val="22"/>
                <w:szCs w:val="22"/>
              </w:rPr>
              <w:t>Credits</w:t>
            </w:r>
          </w:p>
        </w:tc>
      </w:tr>
      <w:tr w:rsidR="00257CB4" w:rsidRPr="00257CB4" w14:paraId="1FEBC68F" w14:textId="77777777" w:rsidTr="0095786C">
        <w:trPr>
          <w:trHeight w:val="442"/>
        </w:trPr>
        <w:tc>
          <w:tcPr>
            <w:tcW w:w="4529" w:type="dxa"/>
          </w:tcPr>
          <w:p w14:paraId="5E8A40FF" w14:textId="77777777" w:rsidR="00257CB4" w:rsidRPr="00D41B93" w:rsidRDefault="00257CB4" w:rsidP="0095786C">
            <w:pPr>
              <w:spacing w:before="120" w:after="120"/>
              <w:rPr>
                <w:rFonts w:ascii="Verdana" w:hAnsi="Verdana"/>
                <w:sz w:val="22"/>
                <w:szCs w:val="22"/>
              </w:rPr>
            </w:pPr>
            <w:r w:rsidRPr="00D41B93">
              <w:rPr>
                <w:rFonts w:ascii="Verdana" w:hAnsi="Verdana"/>
                <w:sz w:val="22"/>
                <w:szCs w:val="22"/>
              </w:rPr>
              <w:t>Revenue expenditure recognised in the CIES</w:t>
            </w:r>
          </w:p>
        </w:tc>
        <w:tc>
          <w:tcPr>
            <w:tcW w:w="4533" w:type="dxa"/>
          </w:tcPr>
          <w:p w14:paraId="78EC6501" w14:textId="77777777" w:rsidR="00257CB4" w:rsidRPr="00D41B93" w:rsidRDefault="00257CB4" w:rsidP="0095786C">
            <w:pPr>
              <w:spacing w:before="120" w:after="120"/>
              <w:rPr>
                <w:rFonts w:ascii="Verdana" w:hAnsi="Verdana"/>
                <w:sz w:val="22"/>
                <w:szCs w:val="22"/>
              </w:rPr>
            </w:pPr>
            <w:r w:rsidRPr="00D41B93">
              <w:rPr>
                <w:rFonts w:ascii="Verdana" w:hAnsi="Verdana"/>
                <w:sz w:val="22"/>
                <w:szCs w:val="22"/>
              </w:rPr>
              <w:t>Income recognised in the CIES</w:t>
            </w:r>
          </w:p>
        </w:tc>
      </w:tr>
      <w:tr w:rsidR="00257CB4" w:rsidRPr="00257CB4" w14:paraId="42099B68" w14:textId="77777777" w:rsidTr="0095786C">
        <w:trPr>
          <w:trHeight w:val="34"/>
        </w:trPr>
        <w:tc>
          <w:tcPr>
            <w:tcW w:w="4529" w:type="dxa"/>
          </w:tcPr>
          <w:p w14:paraId="332D24B5" w14:textId="77777777" w:rsidR="00257CB4" w:rsidRPr="00D41B93" w:rsidRDefault="00257CB4" w:rsidP="0095786C">
            <w:pPr>
              <w:spacing w:before="120" w:after="120"/>
              <w:rPr>
                <w:rFonts w:ascii="Verdana" w:hAnsi="Verdana"/>
                <w:sz w:val="22"/>
                <w:szCs w:val="22"/>
              </w:rPr>
            </w:pPr>
            <w:r w:rsidRPr="00D41B93">
              <w:rPr>
                <w:rFonts w:ascii="Verdana" w:hAnsi="Verdana"/>
                <w:sz w:val="22"/>
                <w:szCs w:val="22"/>
              </w:rPr>
              <w:t>Capital expenditure funded from General Fund</w:t>
            </w:r>
          </w:p>
        </w:tc>
        <w:tc>
          <w:tcPr>
            <w:tcW w:w="4533" w:type="dxa"/>
          </w:tcPr>
          <w:p w14:paraId="65E5F58A" w14:textId="77777777" w:rsidR="00257CB4" w:rsidRPr="00D41B93" w:rsidRDefault="00257CB4" w:rsidP="0095786C">
            <w:pPr>
              <w:spacing w:before="120" w:after="120"/>
              <w:rPr>
                <w:rFonts w:ascii="Verdana" w:hAnsi="Verdana"/>
                <w:sz w:val="22"/>
                <w:szCs w:val="22"/>
              </w:rPr>
            </w:pPr>
            <w:r w:rsidRPr="00D41B93">
              <w:rPr>
                <w:rFonts w:ascii="Verdana" w:hAnsi="Verdana"/>
                <w:sz w:val="22"/>
                <w:szCs w:val="22"/>
              </w:rPr>
              <w:t xml:space="preserve">Statutory guidance adjustments to mitigate the impact of specific aspects of expenditure recognised in the CIES </w:t>
            </w:r>
          </w:p>
        </w:tc>
      </w:tr>
      <w:tr w:rsidR="00257CB4" w:rsidRPr="00257CB4" w14:paraId="4FEF8258" w14:textId="77777777" w:rsidTr="0095786C">
        <w:tc>
          <w:tcPr>
            <w:tcW w:w="4529" w:type="dxa"/>
          </w:tcPr>
          <w:p w14:paraId="059BAA52" w14:textId="77777777" w:rsidR="00257CB4" w:rsidRPr="00D41B93" w:rsidRDefault="00257CB4" w:rsidP="0095786C">
            <w:pPr>
              <w:spacing w:before="120" w:after="120"/>
              <w:rPr>
                <w:rFonts w:ascii="Verdana" w:hAnsi="Verdana"/>
                <w:sz w:val="22"/>
                <w:szCs w:val="22"/>
              </w:rPr>
            </w:pPr>
            <w:r w:rsidRPr="00D41B93">
              <w:rPr>
                <w:rFonts w:ascii="Verdana" w:hAnsi="Verdana"/>
                <w:sz w:val="22"/>
                <w:szCs w:val="22"/>
              </w:rPr>
              <w:t>Repayment of Loans Fund advance</w:t>
            </w:r>
          </w:p>
        </w:tc>
        <w:tc>
          <w:tcPr>
            <w:tcW w:w="4533" w:type="dxa"/>
          </w:tcPr>
          <w:p w14:paraId="3FE1AE7B" w14:textId="416E3185" w:rsidR="00257CB4" w:rsidRPr="00D41B93" w:rsidRDefault="00257CB4" w:rsidP="0095786C">
            <w:pPr>
              <w:spacing w:before="120" w:after="120"/>
              <w:rPr>
                <w:rFonts w:ascii="Verdana" w:hAnsi="Verdana"/>
                <w:sz w:val="22"/>
                <w:szCs w:val="22"/>
              </w:rPr>
            </w:pPr>
            <w:r w:rsidRPr="00D41B93">
              <w:rPr>
                <w:rFonts w:ascii="Verdana" w:hAnsi="Verdana"/>
                <w:sz w:val="22"/>
                <w:szCs w:val="22"/>
              </w:rPr>
              <w:t>Revenue expenditure funded from borrowing</w:t>
            </w:r>
            <w:r w:rsidR="00DF4F82">
              <w:rPr>
                <w:rFonts w:ascii="Verdana" w:hAnsi="Verdana"/>
                <w:sz w:val="22"/>
                <w:szCs w:val="22"/>
              </w:rPr>
              <w:t xml:space="preserve"> as permitted by legislation or Scottish Ministers consent.</w:t>
            </w:r>
          </w:p>
        </w:tc>
      </w:tr>
    </w:tbl>
    <w:p w14:paraId="326845C2" w14:textId="77777777" w:rsidR="00257CB4" w:rsidRPr="00B4620A" w:rsidRDefault="00257CB4" w:rsidP="0095786C">
      <w:pPr>
        <w:spacing w:before="120" w:after="120"/>
        <w:rPr>
          <w:rFonts w:ascii="Verdana" w:hAnsi="Verdana"/>
          <w:b/>
          <w:sz w:val="22"/>
          <w:szCs w:val="22"/>
        </w:rPr>
      </w:pPr>
      <w:r w:rsidRPr="00B4620A">
        <w:rPr>
          <w:rFonts w:ascii="Verdana" w:hAnsi="Verdana"/>
          <w:b/>
          <w:sz w:val="22"/>
          <w:szCs w:val="22"/>
        </w:rPr>
        <w:t>Capital Fund</w:t>
      </w:r>
    </w:p>
    <w:p w14:paraId="4F46D56C" w14:textId="59FCE793" w:rsidR="007F0CA7" w:rsidRPr="007F0CA7" w:rsidRDefault="00D9312F" w:rsidP="007F0CA7">
      <w:pPr>
        <w:pStyle w:val="ListParagraph"/>
        <w:numPr>
          <w:ilvl w:val="0"/>
          <w:numId w:val="15"/>
        </w:numPr>
      </w:pPr>
      <w:r>
        <w:t>Paragraph 22(1</w:t>
      </w:r>
      <w:r w:rsidR="00E30937">
        <w:t>a</w:t>
      </w:r>
      <w:r>
        <w:t xml:space="preserve">) of </w:t>
      </w:r>
      <w:hyperlink r:id="rId28" w:history="1">
        <w:r w:rsidR="00257CB4" w:rsidRPr="00257CB4">
          <w:rPr>
            <w:rStyle w:val="Hyperlink"/>
          </w:rPr>
          <w:t>Schedule 3</w:t>
        </w:r>
      </w:hyperlink>
      <w:r w:rsidR="00257CB4" w:rsidRPr="00257CB4">
        <w:t xml:space="preserve"> of the </w:t>
      </w:r>
      <w:r w:rsidR="007F0CA7" w:rsidRPr="007F0CA7">
        <w:t xml:space="preserve">Local Government (Scotland) Act 1975 </w:t>
      </w:r>
      <w:r w:rsidR="007F0CA7">
        <w:t>(</w:t>
      </w:r>
      <w:r w:rsidR="00257CB4" w:rsidRPr="00257CB4">
        <w:t>1975 Act</w:t>
      </w:r>
      <w:r w:rsidR="007F0CA7">
        <w:t>)</w:t>
      </w:r>
      <w:r w:rsidR="00257CB4" w:rsidRPr="00257CB4">
        <w:t xml:space="preserve"> empowers</w:t>
      </w:r>
      <w:r w:rsidR="00DF4F82">
        <w:t xml:space="preserve"> (but does not require)</w:t>
      </w:r>
      <w:r w:rsidR="00257CB4" w:rsidRPr="00257CB4">
        <w:t xml:space="preserve"> </w:t>
      </w:r>
      <w:r w:rsidR="007F0CA7">
        <w:t>a</w:t>
      </w:r>
      <w:r w:rsidR="00DF4F82">
        <w:t xml:space="preserve"> </w:t>
      </w:r>
      <w:r w:rsidR="00257CB4" w:rsidRPr="00257CB4">
        <w:t xml:space="preserve">local </w:t>
      </w:r>
      <w:r w:rsidR="006F24E3">
        <w:t>authority</w:t>
      </w:r>
      <w:r w:rsidR="00257CB4" w:rsidRPr="00257CB4">
        <w:t xml:space="preserve"> to establish a Capital Fund.</w:t>
      </w:r>
      <w:r w:rsidR="007F0CA7">
        <w:t xml:space="preserve"> </w:t>
      </w:r>
      <w:r w:rsidR="007F0CA7" w:rsidRPr="007F0CA7">
        <w:t xml:space="preserve">Paragraph 28 </w:t>
      </w:r>
      <w:r w:rsidR="00E5691C">
        <w:t xml:space="preserve">empowers </w:t>
      </w:r>
      <w:r w:rsidR="00734012">
        <w:t>Regional Transport Partnerships</w:t>
      </w:r>
      <w:r w:rsidR="00734012" w:rsidRPr="007F0CA7">
        <w:t xml:space="preserve"> </w:t>
      </w:r>
      <w:r w:rsidR="00734012">
        <w:t xml:space="preserve">and those </w:t>
      </w:r>
      <w:r w:rsidR="00E5691C">
        <w:t xml:space="preserve">joint boards </w:t>
      </w:r>
      <w:r w:rsidR="00734012">
        <w:t xml:space="preserve">which have a </w:t>
      </w:r>
      <w:r w:rsidR="00E5691C">
        <w:t>power to borrow</w:t>
      </w:r>
      <w:r w:rsidR="00734012">
        <w:t>,</w:t>
      </w:r>
      <w:r w:rsidR="00E5691C">
        <w:t xml:space="preserve"> to est</w:t>
      </w:r>
      <w:r w:rsidR="007F0CA7" w:rsidRPr="007F0CA7">
        <w:t>ablish a Capital Fund.</w:t>
      </w:r>
      <w:r w:rsidR="00E5691C">
        <w:t xml:space="preserve"> An Integration Joint Board does not </w:t>
      </w:r>
      <w:r w:rsidR="00734012">
        <w:t xml:space="preserve">have a power to borrow and </w:t>
      </w:r>
      <w:r w:rsidR="00E5691C">
        <w:t xml:space="preserve">therefore </w:t>
      </w:r>
      <w:r w:rsidR="00734012">
        <w:t xml:space="preserve">does not </w:t>
      </w:r>
      <w:r w:rsidR="00E5691C">
        <w:t>have the power to establish a Capital Fund.</w:t>
      </w:r>
    </w:p>
    <w:p w14:paraId="6548EA82" w14:textId="564CD5E8" w:rsidR="00257CB4" w:rsidRDefault="00D9312F" w:rsidP="00DE6BB1">
      <w:pPr>
        <w:pStyle w:val="ListParagraph"/>
        <w:numPr>
          <w:ilvl w:val="0"/>
          <w:numId w:val="15"/>
        </w:numPr>
        <w:spacing w:before="120" w:after="120"/>
      </w:pPr>
      <w:r w:rsidRPr="00D9312F">
        <w:t>Where a Capital Fund is established,</w:t>
      </w:r>
      <w:r w:rsidRPr="00B70127">
        <w:rPr>
          <w:b/>
        </w:rPr>
        <w:t xml:space="preserve"> </w:t>
      </w:r>
      <w:r w:rsidRPr="00D9312F">
        <w:t>it is required to be operated in accordance with</w:t>
      </w:r>
      <w:r w:rsidRPr="00B70127">
        <w:rPr>
          <w:b/>
        </w:rPr>
        <w:t xml:space="preserve"> </w:t>
      </w:r>
      <w:r>
        <w:t>paragraph</w:t>
      </w:r>
      <w:r w:rsidR="00E30937">
        <w:t xml:space="preserve">s 22(1a) and </w:t>
      </w:r>
      <w:r>
        <w:t xml:space="preserve">23 of </w:t>
      </w:r>
      <w:r w:rsidRPr="00257CB4">
        <w:t>Schedule 3</w:t>
      </w:r>
      <w:r>
        <w:t>.</w:t>
      </w:r>
      <w:r w:rsidRPr="00257CB4">
        <w:t xml:space="preserve"> </w:t>
      </w:r>
      <w:r w:rsidR="00257CB4" w:rsidRPr="00257CB4">
        <w:t>A summary of the permitted debits and credits</w:t>
      </w:r>
      <w:r w:rsidR="00BF29A8">
        <w:t>, and guidance on each entry,</w:t>
      </w:r>
      <w:r w:rsidR="00257CB4" w:rsidRPr="00257CB4">
        <w:t xml:space="preserve"> is provided in the following table:</w:t>
      </w:r>
    </w:p>
    <w:tbl>
      <w:tblPr>
        <w:tblStyle w:val="TableGrid"/>
        <w:tblW w:w="0" w:type="auto"/>
        <w:tblLook w:val="0620" w:firstRow="1" w:lastRow="0" w:firstColumn="0" w:lastColumn="0" w:noHBand="1" w:noVBand="1"/>
      </w:tblPr>
      <w:tblGrid>
        <w:gridCol w:w="2354"/>
        <w:gridCol w:w="6708"/>
      </w:tblGrid>
      <w:tr w:rsidR="00257CB4" w:rsidRPr="00257CB4" w14:paraId="6F596A9C" w14:textId="77777777" w:rsidTr="0095786C">
        <w:tc>
          <w:tcPr>
            <w:tcW w:w="2354" w:type="dxa"/>
          </w:tcPr>
          <w:p w14:paraId="7C94E558" w14:textId="5CB70783" w:rsidR="00257CB4" w:rsidRPr="0095786C" w:rsidRDefault="00257CB4" w:rsidP="00734012">
            <w:pPr>
              <w:spacing w:before="120" w:after="120"/>
              <w:rPr>
                <w:rFonts w:ascii="Verdana" w:hAnsi="Verdana"/>
                <w:b/>
                <w:sz w:val="22"/>
                <w:szCs w:val="22"/>
              </w:rPr>
            </w:pPr>
            <w:r w:rsidRPr="0095786C">
              <w:rPr>
                <w:rFonts w:ascii="Verdana" w:hAnsi="Verdana"/>
                <w:b/>
                <w:sz w:val="22"/>
                <w:szCs w:val="22"/>
              </w:rPr>
              <w:t>Entr</w:t>
            </w:r>
            <w:r w:rsidR="00734012">
              <w:rPr>
                <w:rFonts w:ascii="Verdana" w:hAnsi="Verdana"/>
                <w:b/>
                <w:sz w:val="22"/>
                <w:szCs w:val="22"/>
              </w:rPr>
              <w:t xml:space="preserve">ies for </w:t>
            </w:r>
            <w:r w:rsidRPr="0095786C">
              <w:rPr>
                <w:rFonts w:ascii="Verdana" w:hAnsi="Verdana"/>
                <w:b/>
                <w:sz w:val="22"/>
                <w:szCs w:val="22"/>
              </w:rPr>
              <w:t xml:space="preserve"> Capital Fund</w:t>
            </w:r>
          </w:p>
        </w:tc>
        <w:tc>
          <w:tcPr>
            <w:tcW w:w="6708" w:type="dxa"/>
          </w:tcPr>
          <w:p w14:paraId="772F5EEC" w14:textId="06006F98" w:rsidR="00257CB4" w:rsidRPr="0095786C" w:rsidRDefault="00BF29A8" w:rsidP="0095786C">
            <w:pPr>
              <w:spacing w:before="120" w:after="120"/>
              <w:rPr>
                <w:rFonts w:ascii="Verdana" w:hAnsi="Verdana"/>
                <w:b/>
                <w:sz w:val="22"/>
                <w:szCs w:val="22"/>
              </w:rPr>
            </w:pPr>
            <w:r>
              <w:rPr>
                <w:rFonts w:ascii="Verdana" w:hAnsi="Verdana"/>
                <w:b/>
                <w:sz w:val="22"/>
                <w:szCs w:val="22"/>
              </w:rPr>
              <w:t>Guidance</w:t>
            </w:r>
          </w:p>
        </w:tc>
      </w:tr>
      <w:tr w:rsidR="00BF29A8" w:rsidRPr="00257CB4" w14:paraId="43364136" w14:textId="77777777" w:rsidTr="00091F96">
        <w:tc>
          <w:tcPr>
            <w:tcW w:w="9062" w:type="dxa"/>
            <w:gridSpan w:val="2"/>
          </w:tcPr>
          <w:p w14:paraId="00A7DF82" w14:textId="0E26A4F3" w:rsidR="00BF29A8" w:rsidRPr="00BF29A8" w:rsidRDefault="00BF29A8" w:rsidP="0095786C">
            <w:pPr>
              <w:spacing w:before="120" w:after="120"/>
              <w:rPr>
                <w:rFonts w:ascii="Verdana" w:hAnsi="Verdana"/>
                <w:b/>
                <w:i/>
                <w:sz w:val="22"/>
                <w:szCs w:val="22"/>
              </w:rPr>
            </w:pPr>
            <w:r w:rsidRPr="00BF29A8">
              <w:rPr>
                <w:rFonts w:ascii="Verdana" w:hAnsi="Verdana"/>
                <w:b/>
                <w:i/>
                <w:sz w:val="22"/>
                <w:szCs w:val="22"/>
              </w:rPr>
              <w:t>Debits</w:t>
            </w:r>
          </w:p>
        </w:tc>
      </w:tr>
      <w:tr w:rsidR="00257CB4" w:rsidRPr="00257CB4" w14:paraId="33B4F502" w14:textId="77777777" w:rsidTr="0095786C">
        <w:trPr>
          <w:trHeight w:val="442"/>
        </w:trPr>
        <w:tc>
          <w:tcPr>
            <w:tcW w:w="2354" w:type="dxa"/>
          </w:tcPr>
          <w:p w14:paraId="545BCBA5" w14:textId="77777777" w:rsidR="00257CB4" w:rsidRPr="00D41B93" w:rsidRDefault="00257CB4" w:rsidP="0095786C">
            <w:pPr>
              <w:spacing w:before="120" w:after="120"/>
              <w:rPr>
                <w:rFonts w:ascii="Verdana" w:hAnsi="Verdana"/>
                <w:sz w:val="22"/>
                <w:szCs w:val="22"/>
              </w:rPr>
            </w:pPr>
            <w:r w:rsidRPr="00D41B93">
              <w:rPr>
                <w:rFonts w:ascii="Verdana" w:hAnsi="Verdana"/>
                <w:sz w:val="22"/>
                <w:szCs w:val="22"/>
              </w:rPr>
              <w:t xml:space="preserve">Capital expenditure funded from the Capital Fund </w:t>
            </w:r>
          </w:p>
        </w:tc>
        <w:tc>
          <w:tcPr>
            <w:tcW w:w="6708" w:type="dxa"/>
          </w:tcPr>
          <w:p w14:paraId="60A06536" w14:textId="77777777" w:rsidR="00257CB4" w:rsidRPr="00D41B93" w:rsidRDefault="00257CB4" w:rsidP="0095786C">
            <w:pPr>
              <w:spacing w:before="120" w:after="120"/>
              <w:rPr>
                <w:rFonts w:ascii="Verdana" w:hAnsi="Verdana"/>
                <w:sz w:val="22"/>
                <w:szCs w:val="22"/>
              </w:rPr>
            </w:pPr>
            <w:r w:rsidRPr="00D41B93">
              <w:rPr>
                <w:rFonts w:ascii="Verdana" w:hAnsi="Verdana"/>
                <w:sz w:val="22"/>
                <w:szCs w:val="22"/>
              </w:rPr>
              <w:t>The capital expenditure should not be charged directly to the reserve.</w:t>
            </w:r>
          </w:p>
          <w:p w14:paraId="0457B485" w14:textId="77777777" w:rsidR="00257CB4" w:rsidRPr="00D41B93" w:rsidRDefault="00257CB4" w:rsidP="0095786C">
            <w:pPr>
              <w:spacing w:before="120" w:after="120"/>
              <w:rPr>
                <w:rFonts w:ascii="Verdana" w:hAnsi="Verdana"/>
                <w:sz w:val="22"/>
                <w:szCs w:val="22"/>
              </w:rPr>
            </w:pPr>
            <w:r w:rsidRPr="00D41B93">
              <w:rPr>
                <w:rFonts w:ascii="Verdana" w:hAnsi="Verdana"/>
                <w:sz w:val="22"/>
                <w:szCs w:val="22"/>
              </w:rPr>
              <w:t>An amount equivalent to the expenditure incurred should be transferred (debit) from the Capital Fund to the Capital Adjustment Account (credit). The transfer between the reserves should be reported in the MiRS.</w:t>
            </w:r>
          </w:p>
        </w:tc>
      </w:tr>
      <w:tr w:rsidR="00257CB4" w:rsidRPr="00257CB4" w14:paraId="2CC7C326" w14:textId="77777777" w:rsidTr="0095786C">
        <w:trPr>
          <w:trHeight w:val="34"/>
        </w:trPr>
        <w:tc>
          <w:tcPr>
            <w:tcW w:w="2354" w:type="dxa"/>
          </w:tcPr>
          <w:p w14:paraId="40282B63" w14:textId="74A80B72" w:rsidR="00257CB4" w:rsidRPr="00D41B93" w:rsidRDefault="00DF4F82" w:rsidP="00DF4F82">
            <w:pPr>
              <w:spacing w:before="120" w:after="120"/>
              <w:rPr>
                <w:rFonts w:ascii="Verdana" w:hAnsi="Verdana"/>
                <w:sz w:val="22"/>
                <w:szCs w:val="22"/>
              </w:rPr>
            </w:pPr>
            <w:r>
              <w:rPr>
                <w:rFonts w:ascii="Verdana" w:hAnsi="Verdana"/>
                <w:sz w:val="22"/>
                <w:szCs w:val="22"/>
              </w:rPr>
              <w:lastRenderedPageBreak/>
              <w:t>P</w:t>
            </w:r>
            <w:r w:rsidRPr="00DF4F82">
              <w:rPr>
                <w:rFonts w:ascii="Verdana" w:hAnsi="Verdana"/>
                <w:sz w:val="22"/>
                <w:szCs w:val="22"/>
              </w:rPr>
              <w:t>roviding money for repayment of the principal of loans</w:t>
            </w:r>
            <w:r>
              <w:rPr>
                <w:rFonts w:ascii="Verdana" w:hAnsi="Verdana"/>
                <w:sz w:val="22"/>
                <w:szCs w:val="22"/>
              </w:rPr>
              <w:t xml:space="preserve"> (r</w:t>
            </w:r>
            <w:r w:rsidR="00257CB4" w:rsidRPr="00D41B93">
              <w:rPr>
                <w:rFonts w:ascii="Verdana" w:hAnsi="Verdana"/>
                <w:sz w:val="22"/>
                <w:szCs w:val="22"/>
              </w:rPr>
              <w:t>epayment of loans fund advance</w:t>
            </w:r>
            <w:r>
              <w:rPr>
                <w:rFonts w:ascii="Verdana" w:hAnsi="Verdana"/>
                <w:sz w:val="22"/>
                <w:szCs w:val="22"/>
              </w:rPr>
              <w:t>)</w:t>
            </w:r>
          </w:p>
        </w:tc>
        <w:tc>
          <w:tcPr>
            <w:tcW w:w="6708" w:type="dxa"/>
          </w:tcPr>
          <w:p w14:paraId="601550C0" w14:textId="786C4740" w:rsidR="00257CB4" w:rsidRPr="00D41B93" w:rsidRDefault="004D28DE" w:rsidP="00091F96">
            <w:pPr>
              <w:spacing w:before="120" w:after="120"/>
              <w:rPr>
                <w:rFonts w:ascii="Verdana" w:hAnsi="Verdana"/>
                <w:sz w:val="22"/>
                <w:szCs w:val="22"/>
              </w:rPr>
            </w:pPr>
            <w:r w:rsidRPr="007B27AF">
              <w:rPr>
                <w:rFonts w:ascii="Verdana" w:hAnsi="Verdana"/>
                <w:sz w:val="22"/>
                <w:szCs w:val="22"/>
              </w:rPr>
              <w:t xml:space="preserve">Where the </w:t>
            </w:r>
            <w:r w:rsidR="00734012">
              <w:rPr>
                <w:rFonts w:ascii="Verdana" w:hAnsi="Verdana"/>
                <w:sz w:val="22"/>
                <w:szCs w:val="22"/>
              </w:rPr>
              <w:t xml:space="preserve">loans fund </w:t>
            </w:r>
            <w:r w:rsidR="00242F41" w:rsidRPr="007B27AF">
              <w:rPr>
                <w:rFonts w:ascii="Verdana" w:hAnsi="Verdana"/>
                <w:sz w:val="22"/>
                <w:szCs w:val="22"/>
              </w:rPr>
              <w:t xml:space="preserve">repayment is </w:t>
            </w:r>
            <w:r w:rsidR="007B27AF">
              <w:rPr>
                <w:rFonts w:ascii="Verdana" w:hAnsi="Verdana"/>
                <w:sz w:val="22"/>
                <w:szCs w:val="22"/>
              </w:rPr>
              <w:t xml:space="preserve">to be funded from the Capital Fund, </w:t>
            </w:r>
            <w:hyperlink r:id="rId29" w:history="1">
              <w:r w:rsidR="00257CB4" w:rsidRPr="00362A1B">
                <w:rPr>
                  <w:rStyle w:val="Hyperlink"/>
                  <w:rFonts w:ascii="Verdana" w:hAnsi="Verdana"/>
                  <w:sz w:val="22"/>
                  <w:szCs w:val="22"/>
                </w:rPr>
                <w:t xml:space="preserve">Finance </w:t>
              </w:r>
              <w:r w:rsidR="007B27AF" w:rsidRPr="00362A1B">
                <w:rPr>
                  <w:rStyle w:val="Hyperlink"/>
                  <w:rFonts w:ascii="Verdana" w:hAnsi="Verdana"/>
                  <w:sz w:val="22"/>
                  <w:szCs w:val="22"/>
                </w:rPr>
                <w:t>C</w:t>
              </w:r>
              <w:r w:rsidR="00257CB4" w:rsidRPr="00362A1B">
                <w:rPr>
                  <w:rStyle w:val="Hyperlink"/>
                  <w:rFonts w:ascii="Verdana" w:hAnsi="Verdana"/>
                  <w:sz w:val="22"/>
                  <w:szCs w:val="22"/>
                </w:rPr>
                <w:t>ircular 7/2016</w:t>
              </w:r>
            </w:hyperlink>
            <w:r w:rsidR="00257CB4" w:rsidRPr="00D41B93">
              <w:rPr>
                <w:rFonts w:ascii="Verdana" w:hAnsi="Verdana"/>
                <w:sz w:val="22"/>
                <w:szCs w:val="22"/>
              </w:rPr>
              <w:t xml:space="preserve"> clarifies that the repayment still requires to be charged, in full, to the General Fund</w:t>
            </w:r>
            <w:r w:rsidR="00091F96">
              <w:rPr>
                <w:rFonts w:ascii="Verdana" w:hAnsi="Verdana"/>
                <w:sz w:val="22"/>
                <w:szCs w:val="22"/>
              </w:rPr>
              <w:t xml:space="preserve"> as a statutory adjustment in the MiRS</w:t>
            </w:r>
            <w:r w:rsidR="00257CB4" w:rsidRPr="00D41B93">
              <w:rPr>
                <w:rFonts w:ascii="Verdana" w:hAnsi="Verdana"/>
                <w:sz w:val="22"/>
                <w:szCs w:val="22"/>
              </w:rPr>
              <w:t>. The transfer from the Capital Fund (debit) to the General Fund (credit) is a separate transaction</w:t>
            </w:r>
            <w:r w:rsidR="00091F96">
              <w:rPr>
                <w:rFonts w:ascii="Verdana" w:hAnsi="Verdana"/>
                <w:sz w:val="22"/>
                <w:szCs w:val="22"/>
              </w:rPr>
              <w:t xml:space="preserve"> to be reported as a transfer to or from other statutory reserves in the MiRS</w:t>
            </w:r>
            <w:r w:rsidR="00257CB4" w:rsidRPr="00D41B93">
              <w:rPr>
                <w:rFonts w:ascii="Verdana" w:hAnsi="Verdana"/>
                <w:sz w:val="22"/>
                <w:szCs w:val="22"/>
              </w:rPr>
              <w:t>.</w:t>
            </w:r>
          </w:p>
        </w:tc>
      </w:tr>
      <w:tr w:rsidR="00075FCE" w:rsidRPr="00257CB4" w14:paraId="59E19828" w14:textId="77777777" w:rsidTr="00091F96">
        <w:trPr>
          <w:trHeight w:val="34"/>
        </w:trPr>
        <w:tc>
          <w:tcPr>
            <w:tcW w:w="9062" w:type="dxa"/>
            <w:gridSpan w:val="2"/>
          </w:tcPr>
          <w:p w14:paraId="4DA8A57D" w14:textId="1833C4A4" w:rsidR="00075FCE" w:rsidRPr="007B27AF" w:rsidRDefault="007776BD" w:rsidP="0095786C">
            <w:pPr>
              <w:spacing w:before="120" w:after="120"/>
              <w:rPr>
                <w:rFonts w:ascii="Verdana" w:hAnsi="Verdana"/>
                <w:sz w:val="22"/>
                <w:szCs w:val="22"/>
              </w:rPr>
            </w:pPr>
            <w:r>
              <w:rPr>
                <w:rFonts w:ascii="Verdana" w:hAnsi="Verdana"/>
                <w:b/>
                <w:i/>
                <w:sz w:val="22"/>
                <w:szCs w:val="22"/>
              </w:rPr>
              <w:t>Cr</w:t>
            </w:r>
            <w:r w:rsidRPr="00BF29A8">
              <w:rPr>
                <w:rFonts w:ascii="Verdana" w:hAnsi="Verdana"/>
                <w:b/>
                <w:i/>
                <w:sz w:val="22"/>
                <w:szCs w:val="22"/>
              </w:rPr>
              <w:t>e</w:t>
            </w:r>
            <w:r>
              <w:rPr>
                <w:rFonts w:ascii="Verdana" w:hAnsi="Verdana"/>
                <w:b/>
                <w:i/>
                <w:sz w:val="22"/>
                <w:szCs w:val="22"/>
              </w:rPr>
              <w:t>d</w:t>
            </w:r>
            <w:r w:rsidRPr="00BF29A8">
              <w:rPr>
                <w:rFonts w:ascii="Verdana" w:hAnsi="Verdana"/>
                <w:b/>
                <w:i/>
                <w:sz w:val="22"/>
                <w:szCs w:val="22"/>
              </w:rPr>
              <w:t>its</w:t>
            </w:r>
          </w:p>
        </w:tc>
      </w:tr>
      <w:tr w:rsidR="00257CB4" w:rsidRPr="00257CB4" w14:paraId="5398C64E" w14:textId="77777777" w:rsidTr="0095786C">
        <w:trPr>
          <w:trHeight w:val="34"/>
        </w:trPr>
        <w:tc>
          <w:tcPr>
            <w:tcW w:w="2354" w:type="dxa"/>
          </w:tcPr>
          <w:p w14:paraId="069643C7" w14:textId="6DCC12F7" w:rsidR="00257CB4" w:rsidRPr="00D41B93" w:rsidRDefault="00257CB4" w:rsidP="00DF4F82">
            <w:pPr>
              <w:spacing w:before="120" w:after="120"/>
              <w:rPr>
                <w:rFonts w:ascii="Verdana" w:hAnsi="Verdana"/>
                <w:sz w:val="22"/>
                <w:szCs w:val="22"/>
              </w:rPr>
            </w:pPr>
            <w:r w:rsidRPr="00D41B93">
              <w:rPr>
                <w:rFonts w:ascii="Verdana" w:hAnsi="Verdana"/>
                <w:sz w:val="22"/>
                <w:szCs w:val="22"/>
              </w:rPr>
              <w:t>Proceeds from the disposal of an asset (i.e. capital receipts) (unless set aside to fund equal pay</w:t>
            </w:r>
            <w:r w:rsidR="00DF4F82">
              <w:rPr>
                <w:rFonts w:ascii="Verdana" w:hAnsi="Verdana"/>
                <w:sz w:val="22"/>
                <w:szCs w:val="22"/>
              </w:rPr>
              <w:t>,</w:t>
            </w:r>
            <w:r w:rsidRPr="00D41B93">
              <w:rPr>
                <w:rFonts w:ascii="Verdana" w:hAnsi="Verdana"/>
                <w:sz w:val="22"/>
                <w:szCs w:val="22"/>
              </w:rPr>
              <w:t xml:space="preserve"> transformation projects </w:t>
            </w:r>
            <w:r w:rsidR="00DF4F82">
              <w:rPr>
                <w:rFonts w:ascii="Verdana" w:hAnsi="Verdana"/>
                <w:sz w:val="22"/>
                <w:szCs w:val="22"/>
              </w:rPr>
              <w:t>or premiums arising from the refinancing of debt</w:t>
            </w:r>
          </w:p>
        </w:tc>
        <w:tc>
          <w:tcPr>
            <w:tcW w:w="6708" w:type="dxa"/>
          </w:tcPr>
          <w:p w14:paraId="4DB2DAE5" w14:textId="773977FC" w:rsidR="00257CB4" w:rsidRPr="00D41B93" w:rsidRDefault="0004746F" w:rsidP="0095786C">
            <w:pPr>
              <w:spacing w:before="120" w:after="120"/>
              <w:rPr>
                <w:rFonts w:ascii="Verdana" w:hAnsi="Verdana"/>
                <w:sz w:val="22"/>
                <w:szCs w:val="22"/>
              </w:rPr>
            </w:pPr>
            <w:r>
              <w:rPr>
                <w:rFonts w:ascii="Verdana" w:hAnsi="Verdana"/>
                <w:sz w:val="22"/>
                <w:szCs w:val="22"/>
              </w:rPr>
              <w:t xml:space="preserve">Local </w:t>
            </w:r>
            <w:r w:rsidR="007F0CA7">
              <w:rPr>
                <w:rFonts w:ascii="Verdana" w:hAnsi="Verdana"/>
                <w:sz w:val="22"/>
                <w:szCs w:val="22"/>
              </w:rPr>
              <w:t>government bodies</w:t>
            </w:r>
            <w:r w:rsidR="007F0CA7" w:rsidRPr="00D41B93">
              <w:rPr>
                <w:rFonts w:ascii="Verdana" w:hAnsi="Verdana"/>
                <w:sz w:val="22"/>
                <w:szCs w:val="22"/>
              </w:rPr>
              <w:t xml:space="preserve"> </w:t>
            </w:r>
            <w:r w:rsidR="00257CB4" w:rsidRPr="00D41B93">
              <w:rPr>
                <w:rFonts w:ascii="Verdana" w:hAnsi="Verdana"/>
                <w:sz w:val="22"/>
                <w:szCs w:val="22"/>
              </w:rPr>
              <w:t xml:space="preserve">should account for the disposal by: </w:t>
            </w:r>
          </w:p>
          <w:p w14:paraId="61846678" w14:textId="77777777" w:rsidR="00257CB4" w:rsidRPr="00D41B93" w:rsidRDefault="00257CB4" w:rsidP="0095786C">
            <w:pPr>
              <w:pStyle w:val="ListParagraph"/>
              <w:numPr>
                <w:ilvl w:val="0"/>
                <w:numId w:val="12"/>
              </w:numPr>
              <w:spacing w:before="120" w:after="120"/>
            </w:pPr>
            <w:r w:rsidRPr="00D41B93">
              <w:t>recognising a gain or loss in Other Operating Expenditure in the Surplus or Deficit on the Provision of Services (SDPS) in the CIES</w:t>
            </w:r>
          </w:p>
          <w:p w14:paraId="2F5BFD49" w14:textId="77777777" w:rsidR="00257CB4" w:rsidRPr="00D41B93" w:rsidRDefault="00257CB4" w:rsidP="0095786C">
            <w:pPr>
              <w:pStyle w:val="ListParagraph"/>
              <w:numPr>
                <w:ilvl w:val="0"/>
                <w:numId w:val="12"/>
              </w:numPr>
              <w:spacing w:before="120" w:after="120"/>
            </w:pPr>
            <w:r w:rsidRPr="00D41B93">
              <w:t>transferring the disposal proceeds from the General Fund (debit) to the Capital Fund (credit) the MiRS.</w:t>
            </w:r>
          </w:p>
          <w:p w14:paraId="77109E60" w14:textId="3239773C" w:rsidR="00257CB4" w:rsidRPr="00D41B93" w:rsidRDefault="00257CB4" w:rsidP="0095786C">
            <w:pPr>
              <w:spacing w:before="120" w:after="120"/>
              <w:rPr>
                <w:rFonts w:ascii="Verdana" w:hAnsi="Verdana"/>
                <w:sz w:val="22"/>
                <w:szCs w:val="22"/>
              </w:rPr>
            </w:pPr>
          </w:p>
        </w:tc>
      </w:tr>
      <w:tr w:rsidR="00257CB4" w:rsidRPr="00257CB4" w14:paraId="76D103C7" w14:textId="77777777" w:rsidTr="0095786C">
        <w:trPr>
          <w:trHeight w:val="34"/>
        </w:trPr>
        <w:tc>
          <w:tcPr>
            <w:tcW w:w="2354" w:type="dxa"/>
          </w:tcPr>
          <w:p w14:paraId="26FC7AE0" w14:textId="4A044887" w:rsidR="00257CB4" w:rsidRPr="00D41B93" w:rsidRDefault="00257CB4" w:rsidP="0095786C">
            <w:pPr>
              <w:spacing w:before="120" w:after="120"/>
              <w:rPr>
                <w:rFonts w:ascii="Verdana" w:hAnsi="Verdana"/>
                <w:sz w:val="22"/>
                <w:szCs w:val="22"/>
              </w:rPr>
            </w:pPr>
            <w:r w:rsidRPr="00D41B93">
              <w:rPr>
                <w:rFonts w:ascii="Verdana" w:hAnsi="Verdana"/>
                <w:sz w:val="22"/>
                <w:szCs w:val="22"/>
              </w:rPr>
              <w:t xml:space="preserve">Sums from revenue as the local </w:t>
            </w:r>
            <w:r w:rsidR="00A404A5">
              <w:rPr>
                <w:rFonts w:ascii="Verdana" w:hAnsi="Verdana"/>
                <w:sz w:val="22"/>
                <w:szCs w:val="22"/>
              </w:rPr>
              <w:t>authority</w:t>
            </w:r>
            <w:r w:rsidRPr="00D41B93">
              <w:rPr>
                <w:rFonts w:ascii="Verdana" w:hAnsi="Verdana"/>
                <w:sz w:val="22"/>
                <w:szCs w:val="22"/>
              </w:rPr>
              <w:t xml:space="preserve"> may direct</w:t>
            </w:r>
          </w:p>
        </w:tc>
        <w:tc>
          <w:tcPr>
            <w:tcW w:w="6708" w:type="dxa"/>
          </w:tcPr>
          <w:p w14:paraId="3F02A35D" w14:textId="183A7B83" w:rsidR="00257CB4" w:rsidRPr="00D41B93" w:rsidRDefault="00257CB4" w:rsidP="0095786C">
            <w:pPr>
              <w:spacing w:before="120" w:after="120"/>
              <w:rPr>
                <w:rFonts w:ascii="Verdana" w:hAnsi="Verdana"/>
                <w:sz w:val="22"/>
                <w:szCs w:val="22"/>
              </w:rPr>
            </w:pPr>
            <w:r w:rsidRPr="00D41B93">
              <w:rPr>
                <w:rFonts w:ascii="Verdana" w:hAnsi="Verdana"/>
                <w:sz w:val="22"/>
                <w:szCs w:val="22"/>
              </w:rPr>
              <w:t xml:space="preserve">The sum should </w:t>
            </w:r>
            <w:r w:rsidR="00214E20">
              <w:rPr>
                <w:rFonts w:ascii="Verdana" w:hAnsi="Verdana"/>
                <w:sz w:val="22"/>
                <w:szCs w:val="22"/>
              </w:rPr>
              <w:t>be</w:t>
            </w:r>
            <w:r w:rsidRPr="00D41B93">
              <w:rPr>
                <w:rFonts w:ascii="Verdana" w:hAnsi="Verdana"/>
                <w:sz w:val="22"/>
                <w:szCs w:val="22"/>
              </w:rPr>
              <w:t xml:space="preserve"> transferred (debit) from the General Fund to the Capital Fund (credit).</w:t>
            </w:r>
          </w:p>
          <w:p w14:paraId="63420545" w14:textId="4EED7E5E" w:rsidR="00257CB4" w:rsidRPr="00D41B93" w:rsidRDefault="00257CB4" w:rsidP="0095786C">
            <w:pPr>
              <w:spacing w:before="120" w:after="120"/>
              <w:rPr>
                <w:rFonts w:ascii="Verdana" w:hAnsi="Verdana"/>
                <w:sz w:val="22"/>
                <w:szCs w:val="22"/>
              </w:rPr>
            </w:pPr>
            <w:r w:rsidRPr="00D41B93">
              <w:rPr>
                <w:rFonts w:ascii="Verdana" w:hAnsi="Verdana"/>
                <w:sz w:val="22"/>
                <w:szCs w:val="22"/>
              </w:rPr>
              <w:t>The transfer between the reserves should be reported in the MiRS.</w:t>
            </w:r>
          </w:p>
        </w:tc>
      </w:tr>
    </w:tbl>
    <w:p w14:paraId="4B8ACFB8" w14:textId="13376175" w:rsidR="00257CB4" w:rsidRDefault="00B617D3" w:rsidP="00DE6BB1">
      <w:pPr>
        <w:pStyle w:val="ListParagraph"/>
        <w:numPr>
          <w:ilvl w:val="0"/>
          <w:numId w:val="15"/>
        </w:numPr>
        <w:spacing w:before="120" w:after="120"/>
      </w:pPr>
      <w:hyperlink r:id="rId30" w:history="1">
        <w:r w:rsidR="00257CB4" w:rsidRPr="00257CB4">
          <w:rPr>
            <w:rStyle w:val="Hyperlink"/>
          </w:rPr>
          <w:t>Finance circular 7/2016</w:t>
        </w:r>
      </w:hyperlink>
      <w:r w:rsidR="00257CB4" w:rsidRPr="00257CB4">
        <w:t xml:space="preserve"> clarifies that there is no statutory power for a body to use the Capital Fund or capital receipts to fund grants to a third party or to finance certain capital expenditure on non-current asset not owned by the </w:t>
      </w:r>
      <w:r w:rsidR="00B2197C">
        <w:t>local authority</w:t>
      </w:r>
      <w:r w:rsidR="00257CB4" w:rsidRPr="00257CB4">
        <w:t>.</w:t>
      </w:r>
    </w:p>
    <w:p w14:paraId="7620F6C4" w14:textId="0DFECF35" w:rsidR="00882462" w:rsidRDefault="00E34F4B" w:rsidP="00DE6BB1">
      <w:pPr>
        <w:pStyle w:val="ListParagraph"/>
        <w:numPr>
          <w:ilvl w:val="0"/>
          <w:numId w:val="15"/>
        </w:numPr>
        <w:spacing w:before="120" w:after="120"/>
      </w:pPr>
      <w:r w:rsidRPr="00E34F4B">
        <w:t>Paragraph 22(1a) does not require</w:t>
      </w:r>
      <w:r>
        <w:t xml:space="preserve"> </w:t>
      </w:r>
      <w:r w:rsidR="005F7F3D">
        <w:t>the establishment of a Capital Fund</w:t>
      </w:r>
      <w:r w:rsidR="000003B1">
        <w:t>. However, w</w:t>
      </w:r>
      <w:r w:rsidR="00882462">
        <w:t xml:space="preserve">here a local </w:t>
      </w:r>
      <w:r w:rsidR="007F0CA7">
        <w:t xml:space="preserve">government body </w:t>
      </w:r>
      <w:r w:rsidR="00882462">
        <w:t xml:space="preserve">chooses not to establish a Capital Fund, </w:t>
      </w:r>
      <w:r w:rsidR="00931175" w:rsidRPr="00931175">
        <w:t>the Code (paragraph 4.1.3.12 of the 20</w:t>
      </w:r>
      <w:r w:rsidR="00F84870">
        <w:t>20</w:t>
      </w:r>
      <w:r w:rsidR="00931175" w:rsidRPr="00931175">
        <w:t>/2</w:t>
      </w:r>
      <w:r w:rsidR="00F84870">
        <w:t>1</w:t>
      </w:r>
      <w:r w:rsidR="00931175" w:rsidRPr="00931175">
        <w:t xml:space="preserve"> edition) requires capital receipts to be credited to a Capital Receipts Reserve. </w:t>
      </w:r>
      <w:r w:rsidR="00091CE5">
        <w:t>LASAAC considers that a</w:t>
      </w:r>
      <w:r w:rsidR="00B12CD7">
        <w:t xml:space="preserve"> </w:t>
      </w:r>
      <w:bookmarkStart w:id="7" w:name="_Hlk29813031"/>
      <w:r w:rsidR="00B12CD7">
        <w:t>Capital Receipts R</w:t>
      </w:r>
      <w:r w:rsidR="00537457">
        <w:t xml:space="preserve">eserve </w:t>
      </w:r>
      <w:bookmarkEnd w:id="7"/>
      <w:r w:rsidR="00537457">
        <w:t xml:space="preserve">is in effect set up </w:t>
      </w:r>
      <w:r w:rsidR="000D605E">
        <w:t xml:space="preserve">under the 1975 Act powers for a Capital Fund. </w:t>
      </w:r>
      <w:r w:rsidR="005A5BFB">
        <w:t>Th</w:t>
      </w:r>
      <w:r w:rsidR="00BA2C6C">
        <w:t xml:space="preserve">is guidance therefore </w:t>
      </w:r>
      <w:r w:rsidR="00795E28">
        <w:t xml:space="preserve">formally </w:t>
      </w:r>
      <w:r w:rsidR="00BA2C6C">
        <w:t>applies to the</w:t>
      </w:r>
      <w:r w:rsidR="005A5BFB">
        <w:t xml:space="preserve"> </w:t>
      </w:r>
      <w:r w:rsidR="00BA2C6C" w:rsidRPr="00BA2C6C">
        <w:t xml:space="preserve">Capital Receipts Reserve </w:t>
      </w:r>
      <w:r w:rsidR="00BA2C6C">
        <w:t xml:space="preserve">the </w:t>
      </w:r>
      <w:r w:rsidR="003A7177">
        <w:t xml:space="preserve">permitted debits and credits for the Capital Fund set out </w:t>
      </w:r>
      <w:r w:rsidR="00A50C5F">
        <w:t xml:space="preserve">in the table </w:t>
      </w:r>
      <w:r w:rsidR="003A7177">
        <w:t xml:space="preserve">at paragraph </w:t>
      </w:r>
      <w:r w:rsidR="00734012">
        <w:t>27</w:t>
      </w:r>
      <w:r w:rsidR="00795E28">
        <w:t>.</w:t>
      </w:r>
    </w:p>
    <w:p w14:paraId="43A5D122" w14:textId="317610E2" w:rsidR="00091F96" w:rsidRPr="00DF3D90" w:rsidRDefault="00091F96" w:rsidP="00DE6BB1">
      <w:pPr>
        <w:pStyle w:val="ListParagraph"/>
        <w:numPr>
          <w:ilvl w:val="0"/>
          <w:numId w:val="15"/>
        </w:numPr>
        <w:spacing w:before="120" w:after="120"/>
      </w:pPr>
      <w:r>
        <w:t xml:space="preserve">Whether a Capital Fund or Capital Receipts Reserve (CRR) is utilised the treatment of deferred capital receipts requires consideration. In these situations a distinction between those receipts which have been realised (or are immediately realisable); and those where receipt of cash or other consideration is deferred. Deferred capital receipts includes, for example, those sales proceeds where the receipt of cash is deferred (such as payment by instalments); and those where a finance lease receipt </w:t>
      </w:r>
      <w:r w:rsidRPr="00DF3D90">
        <w:t xml:space="preserve">(authority as lessor) is recognised. </w:t>
      </w:r>
      <w:r w:rsidRPr="00831652">
        <w:rPr>
          <w:b/>
        </w:rPr>
        <w:t>Where deferred capital receipts are held in a Capital Fund or CRR the relevant balance should be specifically disclosed in the annual accounts</w:t>
      </w:r>
      <w:r w:rsidRPr="00DF3D90">
        <w:t>.</w:t>
      </w:r>
    </w:p>
    <w:p w14:paraId="74B025B9" w14:textId="77777777" w:rsidR="00540D9F" w:rsidRDefault="00540D9F" w:rsidP="0095786C">
      <w:pPr>
        <w:spacing w:before="120" w:after="120"/>
        <w:rPr>
          <w:rFonts w:ascii="Verdana" w:hAnsi="Verdana"/>
          <w:b/>
          <w:sz w:val="22"/>
          <w:szCs w:val="22"/>
        </w:rPr>
      </w:pPr>
    </w:p>
    <w:p w14:paraId="274FAB60" w14:textId="489AC624" w:rsidR="00257CB4" w:rsidRDefault="00257CB4" w:rsidP="0095786C">
      <w:pPr>
        <w:spacing w:before="120" w:after="120"/>
        <w:rPr>
          <w:rFonts w:ascii="Verdana" w:hAnsi="Verdana"/>
          <w:b/>
          <w:sz w:val="22"/>
          <w:szCs w:val="22"/>
        </w:rPr>
      </w:pPr>
      <w:r w:rsidRPr="00152CD7">
        <w:rPr>
          <w:rFonts w:ascii="Verdana" w:hAnsi="Verdana"/>
          <w:b/>
          <w:sz w:val="22"/>
          <w:szCs w:val="22"/>
        </w:rPr>
        <w:lastRenderedPageBreak/>
        <w:t xml:space="preserve">Renewal and Repair Fund </w:t>
      </w:r>
    </w:p>
    <w:p w14:paraId="44E21E9C" w14:textId="54A814FE" w:rsidR="00E5691C" w:rsidRDefault="00E30937" w:rsidP="00DE6BB1">
      <w:pPr>
        <w:pStyle w:val="ListParagraph"/>
        <w:numPr>
          <w:ilvl w:val="0"/>
          <w:numId w:val="15"/>
        </w:numPr>
        <w:spacing w:before="120" w:after="120"/>
      </w:pPr>
      <w:r w:rsidRPr="00E30937">
        <w:t>Paragraph 22(1</w:t>
      </w:r>
      <w:r>
        <w:t>b</w:t>
      </w:r>
      <w:r w:rsidRPr="00E30937">
        <w:t>)</w:t>
      </w:r>
      <w:r>
        <w:t xml:space="preserve"> </w:t>
      </w:r>
      <w:r w:rsidR="006D6F98">
        <w:t xml:space="preserve">of </w:t>
      </w:r>
      <w:hyperlink r:id="rId31" w:history="1">
        <w:r w:rsidR="006D6F98" w:rsidRPr="00257CB4">
          <w:rPr>
            <w:rStyle w:val="Hyperlink"/>
          </w:rPr>
          <w:t>Schedule 3</w:t>
        </w:r>
      </w:hyperlink>
      <w:r w:rsidR="00257CB4" w:rsidRPr="00257CB4">
        <w:t xml:space="preserve"> of the 1975 Act empowers </w:t>
      </w:r>
      <w:r>
        <w:t xml:space="preserve">(but does not require) </w:t>
      </w:r>
      <w:r w:rsidR="00E5691C">
        <w:t>a</w:t>
      </w:r>
      <w:r w:rsidR="00DF4F82">
        <w:t xml:space="preserve"> local authority </w:t>
      </w:r>
      <w:r w:rsidR="00257CB4" w:rsidRPr="00257CB4">
        <w:t>to establish a Renewal and Repair Fund.</w:t>
      </w:r>
      <w:r w:rsidR="00E5691C" w:rsidRPr="00E5691C">
        <w:t xml:space="preserve"> Paragraph 28 empowers</w:t>
      </w:r>
      <w:r w:rsidR="00734012">
        <w:t xml:space="preserve"> </w:t>
      </w:r>
      <w:r w:rsidR="00734012" w:rsidRPr="00E5691C">
        <w:t>Regional Transport Partnerships</w:t>
      </w:r>
      <w:r w:rsidR="00734012">
        <w:t xml:space="preserve"> and those </w:t>
      </w:r>
      <w:r w:rsidR="00E5691C" w:rsidRPr="00E5691C">
        <w:t xml:space="preserve">joint boards </w:t>
      </w:r>
      <w:r w:rsidR="00734012">
        <w:t xml:space="preserve">that have a </w:t>
      </w:r>
      <w:r w:rsidR="00E5691C" w:rsidRPr="00E5691C">
        <w:t>power to borrow</w:t>
      </w:r>
      <w:r w:rsidR="00734012">
        <w:t>,</w:t>
      </w:r>
      <w:r w:rsidR="00E5691C" w:rsidRPr="00E5691C">
        <w:t xml:space="preserve"> to establish a Renewal and Repair Fund. An Integration Joint Board </w:t>
      </w:r>
      <w:r w:rsidR="00734012">
        <w:t xml:space="preserve">has no power to borrow and </w:t>
      </w:r>
      <w:r w:rsidR="00E5691C" w:rsidRPr="00E5691C">
        <w:t>does not therefore have the power to establish a Renewal and Repair Fund.</w:t>
      </w:r>
    </w:p>
    <w:p w14:paraId="366E3A12" w14:textId="46365E67" w:rsidR="00257CB4" w:rsidRDefault="00E30937" w:rsidP="00DE6BB1">
      <w:pPr>
        <w:pStyle w:val="ListParagraph"/>
        <w:numPr>
          <w:ilvl w:val="0"/>
          <w:numId w:val="15"/>
        </w:numPr>
        <w:spacing w:before="120" w:after="120"/>
      </w:pPr>
      <w:r w:rsidRPr="00E30937">
        <w:t xml:space="preserve">Where a </w:t>
      </w:r>
      <w:r>
        <w:t>Renewal and Repair</w:t>
      </w:r>
      <w:r w:rsidRPr="00E30937">
        <w:t xml:space="preserve"> Fund is established, it is required to be operated in accordance with paragraphs 22(1</w:t>
      </w:r>
      <w:r>
        <w:t>b</w:t>
      </w:r>
      <w:r w:rsidRPr="00E30937">
        <w:t>) and 2</w:t>
      </w:r>
      <w:r>
        <w:t>4</w:t>
      </w:r>
      <w:r w:rsidRPr="00E30937">
        <w:t xml:space="preserve"> of Schedule 3. </w:t>
      </w:r>
      <w:r w:rsidR="00257CB4" w:rsidRPr="00257CB4">
        <w:t>A summary of the permitted debits and credits is provided in the following table:</w:t>
      </w:r>
    </w:p>
    <w:tbl>
      <w:tblPr>
        <w:tblStyle w:val="TableGrid"/>
        <w:tblW w:w="0" w:type="auto"/>
        <w:tblLook w:val="0620" w:firstRow="1" w:lastRow="0" w:firstColumn="0" w:lastColumn="0" w:noHBand="1" w:noVBand="1"/>
      </w:tblPr>
      <w:tblGrid>
        <w:gridCol w:w="3114"/>
        <w:gridCol w:w="5948"/>
      </w:tblGrid>
      <w:tr w:rsidR="00734012" w:rsidRPr="00257CB4" w14:paraId="1000CA40" w14:textId="77777777" w:rsidTr="00734012">
        <w:tc>
          <w:tcPr>
            <w:tcW w:w="3114" w:type="dxa"/>
          </w:tcPr>
          <w:p w14:paraId="476853D2" w14:textId="3EE95A6B" w:rsidR="00734012" w:rsidRPr="001C74D4" w:rsidRDefault="00734012" w:rsidP="00734012">
            <w:pPr>
              <w:spacing w:before="120" w:after="120"/>
              <w:rPr>
                <w:rFonts w:ascii="Verdana" w:hAnsi="Verdana"/>
                <w:b/>
                <w:sz w:val="22"/>
                <w:szCs w:val="22"/>
              </w:rPr>
            </w:pPr>
            <w:r>
              <w:rPr>
                <w:rFonts w:ascii="Verdana" w:hAnsi="Verdana"/>
                <w:b/>
                <w:sz w:val="22"/>
                <w:szCs w:val="22"/>
              </w:rPr>
              <w:t>Entries for Renewal and Repair Fund (R&amp;R)</w:t>
            </w:r>
          </w:p>
        </w:tc>
        <w:tc>
          <w:tcPr>
            <w:tcW w:w="5948" w:type="dxa"/>
          </w:tcPr>
          <w:p w14:paraId="08646EF1" w14:textId="190C9C63" w:rsidR="00734012" w:rsidRPr="001C74D4" w:rsidDel="00734012" w:rsidRDefault="00734012" w:rsidP="0095786C">
            <w:pPr>
              <w:spacing w:before="120" w:after="120"/>
              <w:rPr>
                <w:rFonts w:ascii="Verdana" w:hAnsi="Verdana"/>
                <w:b/>
                <w:sz w:val="22"/>
                <w:szCs w:val="22"/>
              </w:rPr>
            </w:pPr>
            <w:r>
              <w:rPr>
                <w:rFonts w:ascii="Verdana" w:hAnsi="Verdana"/>
                <w:b/>
                <w:sz w:val="22"/>
                <w:szCs w:val="22"/>
              </w:rPr>
              <w:t>Guidance</w:t>
            </w:r>
          </w:p>
        </w:tc>
      </w:tr>
      <w:tr w:rsidR="00734012" w:rsidRPr="00257CB4" w14:paraId="41CCB33B" w14:textId="77777777" w:rsidTr="00734012">
        <w:trPr>
          <w:trHeight w:val="389"/>
        </w:trPr>
        <w:tc>
          <w:tcPr>
            <w:tcW w:w="9062" w:type="dxa"/>
            <w:gridSpan w:val="2"/>
          </w:tcPr>
          <w:p w14:paraId="1EE7E86F" w14:textId="7D41ADDE" w:rsidR="00734012" w:rsidRPr="001C74D4" w:rsidRDefault="00734012" w:rsidP="00E80F9D">
            <w:pPr>
              <w:spacing w:before="120" w:after="120"/>
              <w:rPr>
                <w:rFonts w:ascii="Verdana" w:hAnsi="Verdana"/>
                <w:b/>
                <w:sz w:val="22"/>
                <w:szCs w:val="22"/>
              </w:rPr>
            </w:pPr>
            <w:r w:rsidRPr="001C74D4">
              <w:rPr>
                <w:rFonts w:ascii="Verdana" w:hAnsi="Verdana"/>
                <w:b/>
                <w:sz w:val="22"/>
                <w:szCs w:val="22"/>
              </w:rPr>
              <w:t>Debits</w:t>
            </w:r>
          </w:p>
        </w:tc>
      </w:tr>
      <w:tr w:rsidR="00257CB4" w:rsidRPr="00257CB4" w14:paraId="55AD1298" w14:textId="77777777" w:rsidTr="00734012">
        <w:trPr>
          <w:trHeight w:val="442"/>
        </w:trPr>
        <w:tc>
          <w:tcPr>
            <w:tcW w:w="3114" w:type="dxa"/>
          </w:tcPr>
          <w:p w14:paraId="6504AE28" w14:textId="42A89725" w:rsidR="00257CB4" w:rsidRPr="00D41B93" w:rsidRDefault="00734012" w:rsidP="00734012">
            <w:pPr>
              <w:spacing w:before="120" w:after="120"/>
              <w:rPr>
                <w:rFonts w:ascii="Verdana" w:hAnsi="Verdana"/>
                <w:sz w:val="22"/>
                <w:szCs w:val="22"/>
              </w:rPr>
            </w:pPr>
            <w:r>
              <w:rPr>
                <w:rFonts w:ascii="Verdana" w:hAnsi="Verdana"/>
                <w:sz w:val="22"/>
                <w:szCs w:val="22"/>
              </w:rPr>
              <w:t>Revenue e</w:t>
            </w:r>
            <w:r w:rsidR="00257CB4" w:rsidRPr="00D41B93">
              <w:rPr>
                <w:rFonts w:ascii="Verdana" w:hAnsi="Verdana"/>
                <w:sz w:val="22"/>
                <w:szCs w:val="22"/>
              </w:rPr>
              <w:t>xpenditure incurred in repairing, maintaining, replacing and renewing non-current assets</w:t>
            </w:r>
            <w:r>
              <w:rPr>
                <w:rFonts w:ascii="Verdana" w:hAnsi="Verdana"/>
                <w:sz w:val="22"/>
                <w:szCs w:val="22"/>
              </w:rPr>
              <w:t xml:space="preserve"> funded from the R&amp;R Fund</w:t>
            </w:r>
          </w:p>
        </w:tc>
        <w:tc>
          <w:tcPr>
            <w:tcW w:w="5948" w:type="dxa"/>
          </w:tcPr>
          <w:p w14:paraId="233C84F5" w14:textId="58BB4034" w:rsidR="00734012" w:rsidRPr="00734012" w:rsidRDefault="00734012" w:rsidP="00734012">
            <w:pPr>
              <w:spacing w:before="120" w:after="120"/>
              <w:rPr>
                <w:rFonts w:ascii="Verdana" w:hAnsi="Verdana"/>
                <w:sz w:val="22"/>
                <w:szCs w:val="22"/>
              </w:rPr>
            </w:pPr>
            <w:r w:rsidRPr="00734012">
              <w:rPr>
                <w:rFonts w:ascii="Verdana" w:hAnsi="Verdana"/>
                <w:sz w:val="22"/>
                <w:szCs w:val="22"/>
              </w:rPr>
              <w:t>Expenditure should be charged to the relevant service in the SDPS of the CIES</w:t>
            </w:r>
          </w:p>
          <w:p w14:paraId="0ABA66BB" w14:textId="77777777" w:rsidR="00734012" w:rsidRPr="00734012" w:rsidRDefault="00734012" w:rsidP="00734012">
            <w:pPr>
              <w:spacing w:before="120" w:after="120"/>
              <w:rPr>
                <w:rFonts w:ascii="Verdana" w:hAnsi="Verdana"/>
                <w:sz w:val="22"/>
                <w:szCs w:val="22"/>
              </w:rPr>
            </w:pPr>
            <w:r w:rsidRPr="00734012">
              <w:rPr>
                <w:rFonts w:ascii="Verdana" w:hAnsi="Verdana"/>
                <w:sz w:val="22"/>
                <w:szCs w:val="22"/>
              </w:rPr>
              <w:t>An amount equivalent to the expenditure incurred should be transferred (debit) from the Renewal and Repair Fund to the General Fund (credit)</w:t>
            </w:r>
          </w:p>
          <w:p w14:paraId="05EF21DF" w14:textId="4B0819DA" w:rsidR="00734012" w:rsidRPr="00734012" w:rsidRDefault="00734012" w:rsidP="00734012">
            <w:pPr>
              <w:spacing w:before="120" w:after="120"/>
              <w:rPr>
                <w:rFonts w:ascii="Verdana" w:hAnsi="Verdana"/>
                <w:sz w:val="22"/>
                <w:szCs w:val="22"/>
              </w:rPr>
            </w:pPr>
            <w:r w:rsidRPr="00734012">
              <w:rPr>
                <w:rFonts w:ascii="Verdana" w:hAnsi="Verdana"/>
                <w:sz w:val="22"/>
                <w:szCs w:val="22"/>
              </w:rPr>
              <w:t xml:space="preserve">The transfer between the reserves </w:t>
            </w:r>
            <w:r>
              <w:rPr>
                <w:rFonts w:ascii="Verdana" w:hAnsi="Verdana"/>
                <w:sz w:val="22"/>
                <w:szCs w:val="22"/>
              </w:rPr>
              <w:t xml:space="preserve">is </w:t>
            </w:r>
            <w:r w:rsidRPr="00734012">
              <w:rPr>
                <w:rFonts w:ascii="Verdana" w:hAnsi="Verdana"/>
                <w:sz w:val="22"/>
                <w:szCs w:val="22"/>
              </w:rPr>
              <w:t>included in the transfer to or from other statutory reserves reported in the MiRS.</w:t>
            </w:r>
          </w:p>
          <w:p w14:paraId="7F9A188F" w14:textId="28ED7426" w:rsidR="00734012" w:rsidRPr="00D41B93" w:rsidRDefault="00734012" w:rsidP="0095786C">
            <w:pPr>
              <w:spacing w:before="120" w:after="120"/>
              <w:rPr>
                <w:rFonts w:ascii="Verdana" w:hAnsi="Verdana"/>
                <w:sz w:val="22"/>
                <w:szCs w:val="22"/>
              </w:rPr>
            </w:pPr>
          </w:p>
        </w:tc>
      </w:tr>
      <w:tr w:rsidR="00734012" w:rsidRPr="00257CB4" w14:paraId="26A671EE" w14:textId="77777777" w:rsidTr="00734012">
        <w:trPr>
          <w:trHeight w:val="442"/>
        </w:trPr>
        <w:tc>
          <w:tcPr>
            <w:tcW w:w="3114" w:type="dxa"/>
          </w:tcPr>
          <w:p w14:paraId="3A2D66F6" w14:textId="4DC0E9BC" w:rsidR="00734012" w:rsidRDefault="00734012" w:rsidP="0095786C">
            <w:pPr>
              <w:spacing w:before="120" w:after="120"/>
              <w:rPr>
                <w:rFonts w:ascii="Verdana" w:hAnsi="Verdana"/>
                <w:sz w:val="22"/>
                <w:szCs w:val="22"/>
              </w:rPr>
            </w:pPr>
            <w:r>
              <w:rPr>
                <w:rFonts w:ascii="Verdana" w:hAnsi="Verdana"/>
                <w:sz w:val="22"/>
                <w:szCs w:val="22"/>
              </w:rPr>
              <w:t>Capital Expenditure incurred in replacing or renewing non-current assets funded from the R&amp;R Fund</w:t>
            </w:r>
          </w:p>
        </w:tc>
        <w:tc>
          <w:tcPr>
            <w:tcW w:w="5948" w:type="dxa"/>
          </w:tcPr>
          <w:p w14:paraId="5DED79E7" w14:textId="77777777" w:rsidR="00734012" w:rsidRPr="00D41B93" w:rsidRDefault="00734012" w:rsidP="00734012">
            <w:pPr>
              <w:spacing w:before="120" w:after="120"/>
              <w:rPr>
                <w:rFonts w:ascii="Verdana" w:hAnsi="Verdana"/>
                <w:sz w:val="22"/>
                <w:szCs w:val="22"/>
              </w:rPr>
            </w:pPr>
            <w:r w:rsidRPr="00D41B93">
              <w:rPr>
                <w:rFonts w:ascii="Verdana" w:hAnsi="Verdana"/>
                <w:sz w:val="22"/>
                <w:szCs w:val="22"/>
              </w:rPr>
              <w:t>The capital expenditure should not be charged directly to the reserve.</w:t>
            </w:r>
          </w:p>
          <w:p w14:paraId="2AB6F268" w14:textId="77777777" w:rsidR="00734012" w:rsidRDefault="00734012" w:rsidP="00734012">
            <w:pPr>
              <w:spacing w:before="120" w:after="120"/>
              <w:rPr>
                <w:rFonts w:ascii="Verdana" w:hAnsi="Verdana"/>
                <w:sz w:val="22"/>
                <w:szCs w:val="22"/>
              </w:rPr>
            </w:pPr>
            <w:r w:rsidRPr="00D41B93">
              <w:rPr>
                <w:rFonts w:ascii="Verdana" w:hAnsi="Verdana"/>
                <w:sz w:val="22"/>
                <w:szCs w:val="22"/>
              </w:rPr>
              <w:t xml:space="preserve">An amount equivalent to the </w:t>
            </w:r>
            <w:r>
              <w:rPr>
                <w:rFonts w:ascii="Verdana" w:hAnsi="Verdana"/>
                <w:sz w:val="22"/>
                <w:szCs w:val="22"/>
              </w:rPr>
              <w:t xml:space="preserve">capital </w:t>
            </w:r>
            <w:r w:rsidRPr="00D41B93">
              <w:rPr>
                <w:rFonts w:ascii="Verdana" w:hAnsi="Verdana"/>
                <w:sz w:val="22"/>
                <w:szCs w:val="22"/>
              </w:rPr>
              <w:t xml:space="preserve">expenditure incurred should be transferred (debit) from the </w:t>
            </w:r>
            <w:r>
              <w:rPr>
                <w:rFonts w:ascii="Verdana" w:hAnsi="Verdana"/>
                <w:sz w:val="22"/>
                <w:szCs w:val="22"/>
              </w:rPr>
              <w:t>R&amp;R</w:t>
            </w:r>
            <w:r w:rsidRPr="00D41B93">
              <w:rPr>
                <w:rFonts w:ascii="Verdana" w:hAnsi="Verdana"/>
                <w:sz w:val="22"/>
                <w:szCs w:val="22"/>
              </w:rPr>
              <w:t xml:space="preserve"> Fund to the Capital Adjustment Account (credit). </w:t>
            </w:r>
          </w:p>
          <w:p w14:paraId="7AD3B3D2" w14:textId="46AB0A4C" w:rsidR="00734012" w:rsidRPr="00D41B93" w:rsidRDefault="00734012" w:rsidP="00734012">
            <w:pPr>
              <w:spacing w:before="120" w:after="120"/>
              <w:rPr>
                <w:rFonts w:ascii="Verdana" w:hAnsi="Verdana"/>
                <w:sz w:val="22"/>
                <w:szCs w:val="22"/>
              </w:rPr>
            </w:pPr>
            <w:r w:rsidRPr="00D41B93">
              <w:rPr>
                <w:rFonts w:ascii="Verdana" w:hAnsi="Verdana"/>
                <w:sz w:val="22"/>
                <w:szCs w:val="22"/>
              </w:rPr>
              <w:t>The transfer between the reserves should be reported in the MiRS.</w:t>
            </w:r>
          </w:p>
        </w:tc>
      </w:tr>
      <w:tr w:rsidR="00734012" w:rsidRPr="00257CB4" w14:paraId="35987141" w14:textId="77777777" w:rsidTr="00734012">
        <w:trPr>
          <w:trHeight w:val="442"/>
        </w:trPr>
        <w:tc>
          <w:tcPr>
            <w:tcW w:w="3114" w:type="dxa"/>
          </w:tcPr>
          <w:p w14:paraId="74D043DA" w14:textId="1C666DBC" w:rsidR="00734012" w:rsidRPr="00734012" w:rsidRDefault="00734012" w:rsidP="0095786C">
            <w:pPr>
              <w:spacing w:before="120" w:after="120"/>
              <w:rPr>
                <w:rFonts w:ascii="Verdana" w:hAnsi="Verdana"/>
                <w:b/>
                <w:sz w:val="22"/>
                <w:szCs w:val="22"/>
              </w:rPr>
            </w:pPr>
            <w:r w:rsidRPr="00734012">
              <w:rPr>
                <w:rFonts w:ascii="Verdana" w:hAnsi="Verdana"/>
                <w:b/>
                <w:sz w:val="22"/>
                <w:szCs w:val="22"/>
              </w:rPr>
              <w:t>Credits</w:t>
            </w:r>
          </w:p>
        </w:tc>
        <w:tc>
          <w:tcPr>
            <w:tcW w:w="5948" w:type="dxa"/>
          </w:tcPr>
          <w:p w14:paraId="74C7F1E9" w14:textId="754F0803" w:rsidR="00734012" w:rsidRPr="00D41B93" w:rsidRDefault="00734012" w:rsidP="0095786C">
            <w:pPr>
              <w:spacing w:before="120" w:after="120"/>
              <w:rPr>
                <w:rFonts w:ascii="Verdana" w:hAnsi="Verdana"/>
                <w:sz w:val="22"/>
                <w:szCs w:val="22"/>
              </w:rPr>
            </w:pPr>
          </w:p>
        </w:tc>
      </w:tr>
      <w:tr w:rsidR="00734012" w:rsidRPr="00257CB4" w14:paraId="4FC4B2A7" w14:textId="77777777" w:rsidTr="00734012">
        <w:trPr>
          <w:trHeight w:val="442"/>
        </w:trPr>
        <w:tc>
          <w:tcPr>
            <w:tcW w:w="3114" w:type="dxa"/>
          </w:tcPr>
          <w:p w14:paraId="09515841" w14:textId="0841BC8F" w:rsidR="00734012" w:rsidRDefault="00734012" w:rsidP="0095786C">
            <w:pPr>
              <w:spacing w:before="120" w:after="120"/>
              <w:rPr>
                <w:rFonts w:ascii="Verdana" w:hAnsi="Verdana"/>
                <w:sz w:val="22"/>
                <w:szCs w:val="22"/>
              </w:rPr>
            </w:pPr>
            <w:r w:rsidRPr="00D41B93">
              <w:rPr>
                <w:rFonts w:ascii="Verdana" w:hAnsi="Verdana"/>
                <w:sz w:val="22"/>
                <w:szCs w:val="22"/>
              </w:rPr>
              <w:t>Sums from revenue as the body may direct</w:t>
            </w:r>
          </w:p>
        </w:tc>
        <w:tc>
          <w:tcPr>
            <w:tcW w:w="5948" w:type="dxa"/>
          </w:tcPr>
          <w:p w14:paraId="3CF0D374" w14:textId="01007B31" w:rsidR="00734012" w:rsidRPr="00D41B93" w:rsidRDefault="00734012" w:rsidP="00734012">
            <w:pPr>
              <w:spacing w:before="120" w:after="120"/>
              <w:rPr>
                <w:rFonts w:ascii="Verdana" w:hAnsi="Verdana"/>
                <w:sz w:val="22"/>
                <w:szCs w:val="22"/>
              </w:rPr>
            </w:pPr>
            <w:r w:rsidRPr="00D41B93">
              <w:rPr>
                <w:rFonts w:ascii="Verdana" w:hAnsi="Verdana"/>
                <w:sz w:val="22"/>
                <w:szCs w:val="22"/>
              </w:rPr>
              <w:t xml:space="preserve">The sum should </w:t>
            </w:r>
            <w:r>
              <w:rPr>
                <w:rFonts w:ascii="Verdana" w:hAnsi="Verdana"/>
                <w:sz w:val="22"/>
                <w:szCs w:val="22"/>
              </w:rPr>
              <w:t>be</w:t>
            </w:r>
            <w:r w:rsidRPr="00D41B93">
              <w:rPr>
                <w:rFonts w:ascii="Verdana" w:hAnsi="Verdana"/>
                <w:sz w:val="22"/>
                <w:szCs w:val="22"/>
              </w:rPr>
              <w:t xml:space="preserve"> transferred (debit) from the General Fund to the </w:t>
            </w:r>
            <w:r>
              <w:rPr>
                <w:rFonts w:ascii="Verdana" w:hAnsi="Verdana"/>
                <w:sz w:val="22"/>
                <w:szCs w:val="22"/>
              </w:rPr>
              <w:t>R&amp;R</w:t>
            </w:r>
            <w:r w:rsidRPr="00D41B93">
              <w:rPr>
                <w:rFonts w:ascii="Verdana" w:hAnsi="Verdana"/>
                <w:sz w:val="22"/>
                <w:szCs w:val="22"/>
              </w:rPr>
              <w:t xml:space="preserve"> Fund (credit).</w:t>
            </w:r>
          </w:p>
          <w:p w14:paraId="10B3760E" w14:textId="75957997" w:rsidR="00734012" w:rsidRPr="00D41B93" w:rsidRDefault="00734012" w:rsidP="00734012">
            <w:pPr>
              <w:spacing w:before="120" w:after="120"/>
              <w:rPr>
                <w:rFonts w:ascii="Verdana" w:hAnsi="Verdana"/>
                <w:sz w:val="22"/>
                <w:szCs w:val="22"/>
              </w:rPr>
            </w:pPr>
            <w:r w:rsidRPr="00734012">
              <w:rPr>
                <w:rFonts w:ascii="Verdana" w:hAnsi="Verdana"/>
                <w:sz w:val="22"/>
                <w:szCs w:val="22"/>
              </w:rPr>
              <w:t xml:space="preserve">The transfer between the reserves </w:t>
            </w:r>
            <w:r>
              <w:rPr>
                <w:rFonts w:ascii="Verdana" w:hAnsi="Verdana"/>
                <w:sz w:val="22"/>
                <w:szCs w:val="22"/>
              </w:rPr>
              <w:t xml:space="preserve">is </w:t>
            </w:r>
            <w:r w:rsidRPr="00734012">
              <w:rPr>
                <w:rFonts w:ascii="Verdana" w:hAnsi="Verdana"/>
                <w:sz w:val="22"/>
                <w:szCs w:val="22"/>
              </w:rPr>
              <w:t>included in the transfer to or from other statutory reserves reported in the MiRS.</w:t>
            </w:r>
          </w:p>
        </w:tc>
      </w:tr>
    </w:tbl>
    <w:p w14:paraId="45BB370C" w14:textId="77777777" w:rsidR="002009E4" w:rsidRPr="00795E28" w:rsidRDefault="00257CB4" w:rsidP="007441F6">
      <w:pPr>
        <w:spacing w:before="240" w:after="120"/>
        <w:rPr>
          <w:rFonts w:ascii="Verdana" w:hAnsi="Verdana"/>
          <w:b/>
          <w:sz w:val="22"/>
          <w:szCs w:val="22"/>
        </w:rPr>
      </w:pPr>
      <w:r w:rsidRPr="00795E28">
        <w:rPr>
          <w:rFonts w:ascii="Verdana" w:hAnsi="Verdana"/>
          <w:b/>
          <w:sz w:val="22"/>
          <w:szCs w:val="22"/>
        </w:rPr>
        <w:t>Insurance Fund</w:t>
      </w:r>
    </w:p>
    <w:p w14:paraId="1F8A24DF" w14:textId="3C54506B" w:rsidR="00E5691C" w:rsidRPr="007F0CA7" w:rsidRDefault="002009E4" w:rsidP="00734012">
      <w:pPr>
        <w:pStyle w:val="ListParagraph"/>
        <w:numPr>
          <w:ilvl w:val="0"/>
          <w:numId w:val="15"/>
        </w:numPr>
        <w:spacing w:before="120" w:after="120"/>
      </w:pPr>
      <w:r w:rsidRPr="00E30937">
        <w:t>Paragraph 22(1</w:t>
      </w:r>
      <w:r>
        <w:t>ba</w:t>
      </w:r>
      <w:r w:rsidRPr="00E30937">
        <w:t>)</w:t>
      </w:r>
      <w:r>
        <w:t xml:space="preserve"> </w:t>
      </w:r>
      <w:r w:rsidR="006D6F98">
        <w:t xml:space="preserve">of </w:t>
      </w:r>
      <w:hyperlink r:id="rId32" w:history="1">
        <w:r w:rsidR="006D6F98" w:rsidRPr="00257CB4">
          <w:rPr>
            <w:rStyle w:val="Hyperlink"/>
          </w:rPr>
          <w:t>Schedule 3</w:t>
        </w:r>
      </w:hyperlink>
      <w:r w:rsidR="00257CB4" w:rsidRPr="00257CB4">
        <w:t xml:space="preserve"> of the 1975 Act empowers </w:t>
      </w:r>
      <w:r w:rsidR="00DF4F82">
        <w:t xml:space="preserve">(but does not require) those local authority </w:t>
      </w:r>
      <w:r w:rsidR="00257CB4" w:rsidRPr="00257CB4">
        <w:t>bod</w:t>
      </w:r>
      <w:r w:rsidR="00DF4F82">
        <w:t>ies</w:t>
      </w:r>
      <w:r w:rsidR="00257CB4" w:rsidRPr="00257CB4">
        <w:t xml:space="preserve"> to establish an Insurance Fund. </w:t>
      </w:r>
      <w:r w:rsidR="00E5691C" w:rsidRPr="007F0CA7">
        <w:t xml:space="preserve">Paragraph 28 </w:t>
      </w:r>
      <w:r w:rsidR="00E5691C">
        <w:t xml:space="preserve">empowers </w:t>
      </w:r>
      <w:r w:rsidR="00734012">
        <w:t>Regional Transport Partnerships</w:t>
      </w:r>
      <w:r w:rsidR="00734012" w:rsidRPr="007F0CA7">
        <w:t xml:space="preserve"> </w:t>
      </w:r>
      <w:r w:rsidR="00734012">
        <w:t xml:space="preserve">and those </w:t>
      </w:r>
      <w:r w:rsidR="00E5691C">
        <w:t xml:space="preserve">joint </w:t>
      </w:r>
      <w:r w:rsidR="00E5691C">
        <w:lastRenderedPageBreak/>
        <w:t xml:space="preserve">boards </w:t>
      </w:r>
      <w:r w:rsidR="00734012">
        <w:t xml:space="preserve">that have </w:t>
      </w:r>
      <w:r w:rsidR="00E5691C">
        <w:t>the power to borrow to est</w:t>
      </w:r>
      <w:r w:rsidR="00E5691C" w:rsidRPr="007F0CA7">
        <w:t>ablish a</w:t>
      </w:r>
      <w:r w:rsidR="00734012">
        <w:t xml:space="preserve">n Insurance </w:t>
      </w:r>
      <w:r w:rsidR="00E5691C" w:rsidRPr="007F0CA7">
        <w:t>Fund.</w:t>
      </w:r>
      <w:r w:rsidR="00E5691C">
        <w:t xml:space="preserve"> An Integration Joint Board does not </w:t>
      </w:r>
      <w:r w:rsidR="00734012">
        <w:t xml:space="preserve">have a borrowing power and </w:t>
      </w:r>
      <w:r w:rsidR="00E5691C">
        <w:t xml:space="preserve">therefore </w:t>
      </w:r>
      <w:r w:rsidR="00734012">
        <w:t xml:space="preserve">does not </w:t>
      </w:r>
      <w:r w:rsidR="00E5691C">
        <w:t>have the power to establish a</w:t>
      </w:r>
      <w:r w:rsidR="00734012">
        <w:t>n</w:t>
      </w:r>
      <w:r w:rsidR="00380A2B">
        <w:t xml:space="preserve"> </w:t>
      </w:r>
      <w:r w:rsidR="00734012">
        <w:t>Insurance</w:t>
      </w:r>
      <w:r w:rsidR="00380A2B">
        <w:t xml:space="preserve"> </w:t>
      </w:r>
      <w:r w:rsidR="00E5691C">
        <w:t>Fund.</w:t>
      </w:r>
    </w:p>
    <w:p w14:paraId="3A3BAFF6" w14:textId="18640AFE" w:rsidR="00257CB4" w:rsidRDefault="002009E4" w:rsidP="00DE6BB1">
      <w:pPr>
        <w:pStyle w:val="ListParagraph"/>
        <w:numPr>
          <w:ilvl w:val="0"/>
          <w:numId w:val="15"/>
        </w:numPr>
        <w:spacing w:before="120" w:after="120"/>
      </w:pPr>
      <w:r w:rsidRPr="00E30937">
        <w:t>Where a</w:t>
      </w:r>
      <w:r>
        <w:t xml:space="preserve">n Insurance Fund is </w:t>
      </w:r>
      <w:r w:rsidRPr="00E30937">
        <w:t>established, it is required to be operated in accordance with paragraphs 22(1</w:t>
      </w:r>
      <w:r>
        <w:t>ba</w:t>
      </w:r>
      <w:r w:rsidRPr="00E30937">
        <w:t>) and 2</w:t>
      </w:r>
      <w:r>
        <w:t>4(1)</w:t>
      </w:r>
      <w:r w:rsidRPr="00E30937">
        <w:t xml:space="preserve"> of Schedule 3. </w:t>
      </w:r>
      <w:r w:rsidR="00257CB4" w:rsidRPr="00257CB4">
        <w:t>A summary of the permitted debits and credits to the Insurance Fund is provided in the following table:</w:t>
      </w:r>
    </w:p>
    <w:tbl>
      <w:tblPr>
        <w:tblStyle w:val="TableGrid"/>
        <w:tblW w:w="0" w:type="auto"/>
        <w:tblLook w:val="0620" w:firstRow="1" w:lastRow="0" w:firstColumn="0" w:lastColumn="0" w:noHBand="1" w:noVBand="1"/>
      </w:tblPr>
      <w:tblGrid>
        <w:gridCol w:w="3114"/>
        <w:gridCol w:w="5948"/>
      </w:tblGrid>
      <w:tr w:rsidR="00734012" w:rsidRPr="00257CB4" w14:paraId="35E69D2F" w14:textId="77777777" w:rsidTr="0052410F">
        <w:tc>
          <w:tcPr>
            <w:tcW w:w="3114" w:type="dxa"/>
          </w:tcPr>
          <w:p w14:paraId="32EDDA1C" w14:textId="61C4A8FE" w:rsidR="00734012" w:rsidRPr="001C74D4" w:rsidRDefault="00734012" w:rsidP="001C74D4">
            <w:pPr>
              <w:spacing w:before="120" w:after="120"/>
              <w:rPr>
                <w:rFonts w:ascii="Verdana" w:hAnsi="Verdana"/>
                <w:b/>
                <w:sz w:val="22"/>
                <w:szCs w:val="22"/>
              </w:rPr>
            </w:pPr>
            <w:r>
              <w:rPr>
                <w:rFonts w:ascii="Verdana" w:hAnsi="Verdana"/>
                <w:b/>
                <w:sz w:val="22"/>
                <w:szCs w:val="22"/>
              </w:rPr>
              <w:t>Entries for Insurance Fund</w:t>
            </w:r>
          </w:p>
        </w:tc>
        <w:tc>
          <w:tcPr>
            <w:tcW w:w="5948" w:type="dxa"/>
          </w:tcPr>
          <w:p w14:paraId="69D545E0" w14:textId="70A25D26" w:rsidR="00734012" w:rsidRPr="001C74D4" w:rsidRDefault="00734012" w:rsidP="001C74D4">
            <w:pPr>
              <w:spacing w:before="120" w:after="120"/>
              <w:rPr>
                <w:rFonts w:ascii="Verdana" w:hAnsi="Verdana"/>
                <w:b/>
                <w:sz w:val="22"/>
                <w:szCs w:val="22"/>
              </w:rPr>
            </w:pPr>
            <w:r>
              <w:rPr>
                <w:rFonts w:ascii="Verdana" w:hAnsi="Verdana"/>
                <w:b/>
                <w:sz w:val="22"/>
                <w:szCs w:val="22"/>
              </w:rPr>
              <w:t>Guidance</w:t>
            </w:r>
          </w:p>
        </w:tc>
      </w:tr>
      <w:tr w:rsidR="00257CB4" w:rsidRPr="00257CB4" w14:paraId="187AEDFA" w14:textId="77777777" w:rsidTr="0052410F">
        <w:tc>
          <w:tcPr>
            <w:tcW w:w="3114" w:type="dxa"/>
          </w:tcPr>
          <w:p w14:paraId="1EDA50BA" w14:textId="77777777" w:rsidR="00257CB4" w:rsidRPr="001C74D4" w:rsidRDefault="00257CB4" w:rsidP="001C74D4">
            <w:pPr>
              <w:spacing w:before="120" w:after="120"/>
              <w:rPr>
                <w:rFonts w:ascii="Verdana" w:hAnsi="Verdana"/>
                <w:b/>
                <w:sz w:val="22"/>
                <w:szCs w:val="22"/>
              </w:rPr>
            </w:pPr>
            <w:r w:rsidRPr="001C74D4">
              <w:rPr>
                <w:rFonts w:ascii="Verdana" w:hAnsi="Verdana"/>
                <w:b/>
                <w:sz w:val="22"/>
                <w:szCs w:val="22"/>
              </w:rPr>
              <w:t>Debits</w:t>
            </w:r>
          </w:p>
        </w:tc>
        <w:tc>
          <w:tcPr>
            <w:tcW w:w="5948" w:type="dxa"/>
          </w:tcPr>
          <w:p w14:paraId="3857B9AD" w14:textId="52FEC33A" w:rsidR="00257CB4" w:rsidRPr="001C74D4" w:rsidRDefault="00257CB4" w:rsidP="001C74D4">
            <w:pPr>
              <w:spacing w:before="120" w:after="120"/>
              <w:rPr>
                <w:rFonts w:ascii="Verdana" w:hAnsi="Verdana"/>
                <w:b/>
                <w:sz w:val="22"/>
                <w:szCs w:val="22"/>
              </w:rPr>
            </w:pPr>
          </w:p>
        </w:tc>
      </w:tr>
      <w:tr w:rsidR="00257CB4" w:rsidRPr="00257CB4" w14:paraId="3BB850EF" w14:textId="77777777" w:rsidTr="0052410F">
        <w:trPr>
          <w:trHeight w:val="805"/>
        </w:trPr>
        <w:tc>
          <w:tcPr>
            <w:tcW w:w="3114" w:type="dxa"/>
          </w:tcPr>
          <w:p w14:paraId="3F085847" w14:textId="77777777" w:rsidR="00257CB4" w:rsidRPr="001C74D4" w:rsidRDefault="00257CB4" w:rsidP="001C74D4">
            <w:pPr>
              <w:spacing w:before="120" w:after="120"/>
              <w:rPr>
                <w:rFonts w:ascii="Verdana" w:hAnsi="Verdana"/>
                <w:sz w:val="22"/>
                <w:szCs w:val="22"/>
              </w:rPr>
            </w:pPr>
            <w:r w:rsidRPr="001C74D4">
              <w:rPr>
                <w:rFonts w:ascii="Verdana" w:hAnsi="Verdana"/>
                <w:sz w:val="22"/>
                <w:szCs w:val="22"/>
              </w:rPr>
              <w:t>Defraying any loss where a body could have insured against a loss but has not done so</w:t>
            </w:r>
          </w:p>
        </w:tc>
        <w:tc>
          <w:tcPr>
            <w:tcW w:w="5948" w:type="dxa"/>
          </w:tcPr>
          <w:p w14:paraId="06061BEF" w14:textId="12947B63" w:rsidR="00734012" w:rsidRPr="00734012" w:rsidRDefault="00734012" w:rsidP="00734012">
            <w:pPr>
              <w:spacing w:before="120" w:after="120"/>
              <w:rPr>
                <w:rFonts w:ascii="Verdana" w:hAnsi="Verdana"/>
                <w:sz w:val="22"/>
                <w:szCs w:val="22"/>
              </w:rPr>
            </w:pPr>
            <w:r w:rsidRPr="00734012">
              <w:rPr>
                <w:rFonts w:ascii="Verdana" w:hAnsi="Verdana"/>
                <w:sz w:val="22"/>
                <w:szCs w:val="22"/>
              </w:rPr>
              <w:t>Expenditure should be charged to the relevant service in the SDPS of the CIES</w:t>
            </w:r>
            <w:r w:rsidR="006B7618">
              <w:rPr>
                <w:rFonts w:ascii="Verdana" w:hAnsi="Verdana"/>
                <w:sz w:val="22"/>
                <w:szCs w:val="22"/>
              </w:rPr>
              <w:t>.</w:t>
            </w:r>
          </w:p>
          <w:p w14:paraId="336A5998" w14:textId="177589F4" w:rsidR="00734012" w:rsidRPr="00734012" w:rsidRDefault="00734012" w:rsidP="00734012">
            <w:pPr>
              <w:spacing w:before="120" w:after="120"/>
              <w:rPr>
                <w:rFonts w:ascii="Verdana" w:hAnsi="Verdana"/>
                <w:sz w:val="22"/>
                <w:szCs w:val="22"/>
              </w:rPr>
            </w:pPr>
            <w:r w:rsidRPr="00734012">
              <w:rPr>
                <w:rFonts w:ascii="Verdana" w:hAnsi="Verdana"/>
                <w:sz w:val="22"/>
                <w:szCs w:val="22"/>
              </w:rPr>
              <w:t xml:space="preserve">An amount equivalent to the expenditure incurred should be transferred (debit) from the </w:t>
            </w:r>
            <w:r>
              <w:rPr>
                <w:rFonts w:ascii="Verdana" w:hAnsi="Verdana"/>
                <w:sz w:val="22"/>
                <w:szCs w:val="22"/>
              </w:rPr>
              <w:t xml:space="preserve">Insurance </w:t>
            </w:r>
            <w:r w:rsidRPr="00734012">
              <w:rPr>
                <w:rFonts w:ascii="Verdana" w:hAnsi="Verdana"/>
                <w:sz w:val="22"/>
                <w:szCs w:val="22"/>
              </w:rPr>
              <w:t>Fund to the General Fund (credit)</w:t>
            </w:r>
            <w:r w:rsidR="006B7618">
              <w:rPr>
                <w:rFonts w:ascii="Verdana" w:hAnsi="Verdana"/>
                <w:sz w:val="22"/>
                <w:szCs w:val="22"/>
              </w:rPr>
              <w:t>.</w:t>
            </w:r>
          </w:p>
          <w:p w14:paraId="3E2F6812" w14:textId="6188588F" w:rsidR="00734012" w:rsidRPr="001C74D4" w:rsidRDefault="00734012" w:rsidP="00734012">
            <w:pPr>
              <w:spacing w:before="120" w:after="120"/>
              <w:rPr>
                <w:rFonts w:ascii="Verdana" w:hAnsi="Verdana"/>
                <w:sz w:val="22"/>
                <w:szCs w:val="22"/>
              </w:rPr>
            </w:pPr>
            <w:r w:rsidRPr="00734012">
              <w:rPr>
                <w:rFonts w:ascii="Verdana" w:hAnsi="Verdana"/>
                <w:sz w:val="22"/>
                <w:szCs w:val="22"/>
              </w:rPr>
              <w:t xml:space="preserve">The transfer between the reserves </w:t>
            </w:r>
            <w:r>
              <w:rPr>
                <w:rFonts w:ascii="Verdana" w:hAnsi="Verdana"/>
                <w:sz w:val="22"/>
                <w:szCs w:val="22"/>
              </w:rPr>
              <w:t xml:space="preserve">is </w:t>
            </w:r>
            <w:r w:rsidRPr="00734012">
              <w:rPr>
                <w:rFonts w:ascii="Verdana" w:hAnsi="Verdana"/>
                <w:sz w:val="22"/>
                <w:szCs w:val="22"/>
              </w:rPr>
              <w:t>included in the transfer to or from other statutory reserves reported in the MiRS.</w:t>
            </w:r>
          </w:p>
        </w:tc>
      </w:tr>
      <w:tr w:rsidR="00257CB4" w:rsidRPr="00257CB4" w14:paraId="02EF402C" w14:textId="77777777" w:rsidTr="0052410F">
        <w:trPr>
          <w:trHeight w:val="442"/>
        </w:trPr>
        <w:tc>
          <w:tcPr>
            <w:tcW w:w="3114" w:type="dxa"/>
          </w:tcPr>
          <w:p w14:paraId="2905A4DC" w14:textId="77777777" w:rsidR="00257CB4" w:rsidRPr="001C74D4" w:rsidRDefault="00257CB4" w:rsidP="001C74D4">
            <w:pPr>
              <w:spacing w:before="120" w:after="120"/>
              <w:rPr>
                <w:rFonts w:ascii="Verdana" w:hAnsi="Verdana"/>
                <w:sz w:val="22"/>
                <w:szCs w:val="22"/>
              </w:rPr>
            </w:pPr>
            <w:r w:rsidRPr="001C74D4">
              <w:rPr>
                <w:rFonts w:ascii="Verdana" w:hAnsi="Verdana"/>
                <w:sz w:val="22"/>
                <w:szCs w:val="22"/>
              </w:rPr>
              <w:t>Paying premiums on an insurance policy</w:t>
            </w:r>
          </w:p>
        </w:tc>
        <w:tc>
          <w:tcPr>
            <w:tcW w:w="5948" w:type="dxa"/>
          </w:tcPr>
          <w:p w14:paraId="4F473672" w14:textId="133A15EF" w:rsidR="00734012" w:rsidRPr="00734012" w:rsidRDefault="00734012" w:rsidP="00734012">
            <w:pPr>
              <w:spacing w:before="120" w:after="120"/>
              <w:rPr>
                <w:rFonts w:ascii="Verdana" w:hAnsi="Verdana"/>
                <w:sz w:val="22"/>
                <w:szCs w:val="22"/>
              </w:rPr>
            </w:pPr>
            <w:r w:rsidRPr="00734012">
              <w:rPr>
                <w:rFonts w:ascii="Verdana" w:hAnsi="Verdana"/>
                <w:sz w:val="22"/>
                <w:szCs w:val="22"/>
              </w:rPr>
              <w:t>Expenditure should be charged to the relevant service in the SDPS of the CIES</w:t>
            </w:r>
            <w:r w:rsidR="006B7618">
              <w:rPr>
                <w:rFonts w:ascii="Verdana" w:hAnsi="Verdana"/>
                <w:sz w:val="22"/>
                <w:szCs w:val="22"/>
              </w:rPr>
              <w:t>.</w:t>
            </w:r>
          </w:p>
          <w:p w14:paraId="7A0095F1" w14:textId="36681F75" w:rsidR="00734012" w:rsidRPr="00734012" w:rsidRDefault="00734012" w:rsidP="00734012">
            <w:pPr>
              <w:spacing w:before="120" w:after="120"/>
              <w:rPr>
                <w:rFonts w:ascii="Verdana" w:hAnsi="Verdana"/>
                <w:sz w:val="22"/>
                <w:szCs w:val="22"/>
              </w:rPr>
            </w:pPr>
            <w:r w:rsidRPr="00734012">
              <w:rPr>
                <w:rFonts w:ascii="Verdana" w:hAnsi="Verdana"/>
                <w:sz w:val="22"/>
                <w:szCs w:val="22"/>
              </w:rPr>
              <w:t xml:space="preserve">An amount equivalent to the expenditure incurred should be transferred (debit) from the </w:t>
            </w:r>
            <w:r>
              <w:rPr>
                <w:rFonts w:ascii="Verdana" w:hAnsi="Verdana"/>
                <w:sz w:val="22"/>
                <w:szCs w:val="22"/>
              </w:rPr>
              <w:t xml:space="preserve">Insurance </w:t>
            </w:r>
            <w:r w:rsidRPr="00734012">
              <w:rPr>
                <w:rFonts w:ascii="Verdana" w:hAnsi="Verdana"/>
                <w:sz w:val="22"/>
                <w:szCs w:val="22"/>
              </w:rPr>
              <w:t>Fund to the General Fund (credit)</w:t>
            </w:r>
            <w:r w:rsidR="006B7618">
              <w:rPr>
                <w:rFonts w:ascii="Verdana" w:hAnsi="Verdana"/>
                <w:sz w:val="22"/>
                <w:szCs w:val="22"/>
              </w:rPr>
              <w:t>.</w:t>
            </w:r>
          </w:p>
          <w:p w14:paraId="58926310" w14:textId="36897D05" w:rsidR="00257CB4" w:rsidRPr="001C74D4" w:rsidRDefault="00734012" w:rsidP="00734012">
            <w:pPr>
              <w:spacing w:before="120" w:after="120"/>
              <w:rPr>
                <w:rFonts w:ascii="Verdana" w:hAnsi="Verdana"/>
                <w:sz w:val="22"/>
                <w:szCs w:val="22"/>
              </w:rPr>
            </w:pPr>
            <w:r w:rsidRPr="00734012">
              <w:rPr>
                <w:rFonts w:ascii="Verdana" w:hAnsi="Verdana"/>
                <w:sz w:val="22"/>
                <w:szCs w:val="22"/>
              </w:rPr>
              <w:t xml:space="preserve">The transfer between the reserves </w:t>
            </w:r>
            <w:r>
              <w:rPr>
                <w:rFonts w:ascii="Verdana" w:hAnsi="Verdana"/>
                <w:sz w:val="22"/>
                <w:szCs w:val="22"/>
              </w:rPr>
              <w:t xml:space="preserve">is </w:t>
            </w:r>
            <w:r w:rsidRPr="00734012">
              <w:rPr>
                <w:rFonts w:ascii="Verdana" w:hAnsi="Verdana"/>
                <w:sz w:val="22"/>
                <w:szCs w:val="22"/>
              </w:rPr>
              <w:t>included in the transfer to or from other statutory reserves reported in the MiRS.</w:t>
            </w:r>
          </w:p>
        </w:tc>
      </w:tr>
      <w:tr w:rsidR="00734012" w:rsidRPr="00257CB4" w14:paraId="1E358291" w14:textId="77777777" w:rsidTr="0052410F">
        <w:trPr>
          <w:trHeight w:val="442"/>
        </w:trPr>
        <w:tc>
          <w:tcPr>
            <w:tcW w:w="3114" w:type="dxa"/>
          </w:tcPr>
          <w:p w14:paraId="59230414" w14:textId="46279E83" w:rsidR="00734012" w:rsidRPr="00734012" w:rsidRDefault="00734012" w:rsidP="001C74D4">
            <w:pPr>
              <w:spacing w:before="120" w:after="120"/>
              <w:rPr>
                <w:rFonts w:ascii="Verdana" w:hAnsi="Verdana"/>
                <w:b/>
                <w:sz w:val="22"/>
                <w:szCs w:val="22"/>
              </w:rPr>
            </w:pPr>
            <w:r w:rsidRPr="00734012">
              <w:rPr>
                <w:rFonts w:ascii="Verdana" w:hAnsi="Verdana"/>
                <w:b/>
                <w:sz w:val="22"/>
                <w:szCs w:val="22"/>
              </w:rPr>
              <w:t>Credits</w:t>
            </w:r>
          </w:p>
        </w:tc>
        <w:tc>
          <w:tcPr>
            <w:tcW w:w="5948" w:type="dxa"/>
          </w:tcPr>
          <w:p w14:paraId="2F6058A5" w14:textId="77777777" w:rsidR="00734012" w:rsidRPr="001C74D4" w:rsidRDefault="00734012" w:rsidP="001C74D4">
            <w:pPr>
              <w:spacing w:before="120" w:after="120"/>
              <w:rPr>
                <w:rFonts w:ascii="Verdana" w:hAnsi="Verdana"/>
                <w:sz w:val="22"/>
                <w:szCs w:val="22"/>
              </w:rPr>
            </w:pPr>
          </w:p>
        </w:tc>
      </w:tr>
      <w:tr w:rsidR="00734012" w:rsidRPr="00257CB4" w14:paraId="6C472CA1" w14:textId="77777777" w:rsidTr="0052410F">
        <w:trPr>
          <w:trHeight w:val="442"/>
        </w:trPr>
        <w:tc>
          <w:tcPr>
            <w:tcW w:w="3114" w:type="dxa"/>
          </w:tcPr>
          <w:p w14:paraId="70F0BB76" w14:textId="2307CCCB" w:rsidR="00734012" w:rsidRDefault="00734012" w:rsidP="00734012">
            <w:pPr>
              <w:spacing w:before="120" w:after="120"/>
              <w:rPr>
                <w:rFonts w:ascii="Verdana" w:hAnsi="Verdana"/>
                <w:sz w:val="22"/>
                <w:szCs w:val="22"/>
              </w:rPr>
            </w:pPr>
            <w:r w:rsidRPr="001C74D4">
              <w:rPr>
                <w:rFonts w:ascii="Verdana" w:hAnsi="Verdana"/>
                <w:sz w:val="22"/>
                <w:szCs w:val="22"/>
              </w:rPr>
              <w:t>Sums from revenue as the body may direct</w:t>
            </w:r>
          </w:p>
        </w:tc>
        <w:tc>
          <w:tcPr>
            <w:tcW w:w="5948" w:type="dxa"/>
          </w:tcPr>
          <w:p w14:paraId="73E896F8" w14:textId="17319086" w:rsidR="00734012" w:rsidRPr="00D41B93" w:rsidRDefault="00734012" w:rsidP="00734012">
            <w:pPr>
              <w:spacing w:before="120" w:after="120"/>
              <w:rPr>
                <w:rFonts w:ascii="Verdana" w:hAnsi="Verdana"/>
                <w:sz w:val="22"/>
                <w:szCs w:val="22"/>
              </w:rPr>
            </w:pPr>
            <w:r w:rsidRPr="00D41B93">
              <w:rPr>
                <w:rFonts w:ascii="Verdana" w:hAnsi="Verdana"/>
                <w:sz w:val="22"/>
                <w:szCs w:val="22"/>
              </w:rPr>
              <w:t xml:space="preserve">The sum should </w:t>
            </w:r>
            <w:r>
              <w:rPr>
                <w:rFonts w:ascii="Verdana" w:hAnsi="Verdana"/>
                <w:sz w:val="22"/>
                <w:szCs w:val="22"/>
              </w:rPr>
              <w:t>be</w:t>
            </w:r>
            <w:r w:rsidRPr="00D41B93">
              <w:rPr>
                <w:rFonts w:ascii="Verdana" w:hAnsi="Verdana"/>
                <w:sz w:val="22"/>
                <w:szCs w:val="22"/>
              </w:rPr>
              <w:t xml:space="preserve"> transferred (debit) from the General Fund to the </w:t>
            </w:r>
            <w:r w:rsidR="004F28D9">
              <w:rPr>
                <w:rFonts w:ascii="Verdana" w:hAnsi="Verdana"/>
                <w:sz w:val="22"/>
                <w:szCs w:val="22"/>
              </w:rPr>
              <w:t>Insurance</w:t>
            </w:r>
            <w:r w:rsidRPr="00D41B93">
              <w:rPr>
                <w:rFonts w:ascii="Verdana" w:hAnsi="Verdana"/>
                <w:sz w:val="22"/>
                <w:szCs w:val="22"/>
              </w:rPr>
              <w:t xml:space="preserve"> Fund (credit).</w:t>
            </w:r>
          </w:p>
          <w:p w14:paraId="5E548A36" w14:textId="3CF4ACCB" w:rsidR="00734012" w:rsidRPr="001C74D4" w:rsidRDefault="00734012" w:rsidP="00734012">
            <w:pPr>
              <w:spacing w:before="120" w:after="120"/>
              <w:rPr>
                <w:rFonts w:ascii="Verdana" w:hAnsi="Verdana"/>
                <w:sz w:val="22"/>
                <w:szCs w:val="22"/>
              </w:rPr>
            </w:pPr>
            <w:r w:rsidRPr="00734012">
              <w:rPr>
                <w:rFonts w:ascii="Verdana" w:hAnsi="Verdana"/>
                <w:sz w:val="22"/>
                <w:szCs w:val="22"/>
              </w:rPr>
              <w:t xml:space="preserve">The transfer between the reserves </w:t>
            </w:r>
            <w:r>
              <w:rPr>
                <w:rFonts w:ascii="Verdana" w:hAnsi="Verdana"/>
                <w:sz w:val="22"/>
                <w:szCs w:val="22"/>
              </w:rPr>
              <w:t xml:space="preserve">is </w:t>
            </w:r>
            <w:r w:rsidRPr="00734012">
              <w:rPr>
                <w:rFonts w:ascii="Verdana" w:hAnsi="Verdana"/>
                <w:sz w:val="22"/>
                <w:szCs w:val="22"/>
              </w:rPr>
              <w:t>included in the transfer to or from other statutory reserves reported in the MiRS.</w:t>
            </w:r>
          </w:p>
        </w:tc>
      </w:tr>
    </w:tbl>
    <w:p w14:paraId="7D87491C" w14:textId="613B7014" w:rsidR="00257CB4" w:rsidRPr="00257CB4" w:rsidRDefault="00257CB4">
      <w:pPr>
        <w:pStyle w:val="ListParagraph"/>
        <w:numPr>
          <w:ilvl w:val="0"/>
          <w:numId w:val="15"/>
        </w:numPr>
        <w:spacing w:before="120" w:after="120"/>
      </w:pPr>
      <w:r w:rsidRPr="00257CB4">
        <w:t xml:space="preserve">The LASAAC guidance issued in 2005 on accounting for the Insurance Fund which recommended the charging of an internal insurance premium has been withdrawn. A </w:t>
      </w:r>
      <w:hyperlink r:id="rId33" w:history="1">
        <w:r w:rsidRPr="00BE5517">
          <w:rPr>
            <w:rStyle w:val="Hyperlink"/>
          </w:rPr>
          <w:t>LASAAC advisory note on internal transactions</w:t>
        </w:r>
      </w:hyperlink>
      <w:r w:rsidRPr="00257CB4">
        <w:t xml:space="preserve"> explains that any internal insurance premiums charged for management purposes should be eliminated in the Expenditure and Funding Analysis.</w:t>
      </w:r>
    </w:p>
    <w:bookmarkEnd w:id="2"/>
    <w:bookmarkEnd w:id="3"/>
    <w:bookmarkEnd w:id="4"/>
    <w:bookmarkEnd w:id="5"/>
    <w:p w14:paraId="4A0CA59E" w14:textId="77777777" w:rsidR="00257CB4" w:rsidRPr="00D16278" w:rsidRDefault="00257CB4" w:rsidP="001C74D4">
      <w:pPr>
        <w:spacing w:before="120" w:after="120"/>
        <w:rPr>
          <w:rFonts w:ascii="Verdana" w:hAnsi="Verdana"/>
          <w:b/>
          <w:sz w:val="22"/>
          <w:szCs w:val="22"/>
        </w:rPr>
      </w:pPr>
      <w:r w:rsidRPr="00D16278">
        <w:rPr>
          <w:rFonts w:ascii="Verdana" w:hAnsi="Verdana"/>
          <w:b/>
          <w:sz w:val="22"/>
          <w:szCs w:val="22"/>
        </w:rPr>
        <w:t xml:space="preserve">Capital Grants (and Receipts) Unapplied Account </w:t>
      </w:r>
    </w:p>
    <w:p w14:paraId="623A6E58" w14:textId="74AD2905" w:rsidR="00257CB4" w:rsidRPr="00B70127" w:rsidRDefault="00D56351" w:rsidP="00DE6BB1">
      <w:pPr>
        <w:pStyle w:val="ListParagraph"/>
        <w:numPr>
          <w:ilvl w:val="0"/>
          <w:numId w:val="15"/>
        </w:numPr>
        <w:spacing w:before="120" w:after="120"/>
      </w:pPr>
      <w:r>
        <w:t xml:space="preserve">Under </w:t>
      </w:r>
      <w:hyperlink r:id="rId34" w:history="1">
        <w:r w:rsidRPr="00E04934">
          <w:rPr>
            <w:rStyle w:val="Hyperlink"/>
          </w:rPr>
          <w:t>Finance Circular 3/2018</w:t>
        </w:r>
      </w:hyperlink>
      <w:r>
        <w:t>, t</w:t>
      </w:r>
      <w:r w:rsidR="00257CB4" w:rsidRPr="00B70127">
        <w:t>he Capital Grants Unapplied Account should be used to hold capital grant that is unused at the year end.</w:t>
      </w:r>
    </w:p>
    <w:p w14:paraId="76A81EE6" w14:textId="77777777" w:rsidR="00257CB4" w:rsidRDefault="00257CB4" w:rsidP="00DE6BB1">
      <w:pPr>
        <w:pStyle w:val="ListParagraph"/>
        <w:numPr>
          <w:ilvl w:val="0"/>
          <w:numId w:val="15"/>
        </w:numPr>
        <w:spacing w:before="120" w:after="120"/>
      </w:pPr>
      <w:r w:rsidRPr="00B70127">
        <w:t>It should be renamed as the Capital Grants and Receipts Unapplied Account if it is also used to hold capital receipts set aside to fund:</w:t>
      </w:r>
    </w:p>
    <w:p w14:paraId="2AB66434" w14:textId="7D76A8DB" w:rsidR="00257CB4" w:rsidRPr="00B70127" w:rsidRDefault="00257CB4" w:rsidP="001C74D4">
      <w:pPr>
        <w:pStyle w:val="ListParagraph"/>
        <w:numPr>
          <w:ilvl w:val="0"/>
          <w:numId w:val="23"/>
        </w:numPr>
        <w:spacing w:before="120" w:after="120"/>
      </w:pPr>
      <w:r w:rsidRPr="00B70127">
        <w:lastRenderedPageBreak/>
        <w:t xml:space="preserve">equal pay </w:t>
      </w:r>
      <w:r w:rsidR="00E65AB0">
        <w:t xml:space="preserve">under </w:t>
      </w:r>
      <w:hyperlink r:id="rId35" w:history="1">
        <w:r w:rsidR="00E65AB0" w:rsidRPr="001F2F78">
          <w:rPr>
            <w:rStyle w:val="Hyperlink"/>
          </w:rPr>
          <w:t>Finance Circular 1/2019</w:t>
        </w:r>
      </w:hyperlink>
    </w:p>
    <w:p w14:paraId="322EE21A" w14:textId="22DA4A77" w:rsidR="00257CB4" w:rsidRPr="00B70127" w:rsidRDefault="00257CB4" w:rsidP="001C74D4">
      <w:pPr>
        <w:pStyle w:val="ListParagraph"/>
        <w:numPr>
          <w:ilvl w:val="0"/>
          <w:numId w:val="23"/>
        </w:numPr>
        <w:spacing w:before="120" w:after="120"/>
      </w:pPr>
      <w:r w:rsidRPr="00B70127">
        <w:t xml:space="preserve">premiums on early loan repayment </w:t>
      </w:r>
      <w:r w:rsidR="00E65AB0">
        <w:t xml:space="preserve">under </w:t>
      </w:r>
      <w:hyperlink r:id="rId36" w:history="1">
        <w:r w:rsidR="00E65AB0" w:rsidRPr="007B602D">
          <w:rPr>
            <w:rStyle w:val="Hyperlink"/>
          </w:rPr>
          <w:t>Finance Circular</w:t>
        </w:r>
        <w:r w:rsidR="00CB2CC3" w:rsidRPr="007B602D">
          <w:rPr>
            <w:rStyle w:val="Hyperlink"/>
          </w:rPr>
          <w:t xml:space="preserve"> 7/2018</w:t>
        </w:r>
      </w:hyperlink>
    </w:p>
    <w:p w14:paraId="4BA4D6A9" w14:textId="122AE6FC" w:rsidR="00257CB4" w:rsidRDefault="00257CB4" w:rsidP="00B70127">
      <w:pPr>
        <w:pStyle w:val="ListParagraph"/>
        <w:numPr>
          <w:ilvl w:val="0"/>
          <w:numId w:val="23"/>
        </w:numPr>
      </w:pPr>
      <w:r w:rsidRPr="00257CB4">
        <w:t xml:space="preserve">capital receipts to fund qualifying expenditure on transformation projects </w:t>
      </w:r>
      <w:r w:rsidR="00CB2CC3">
        <w:t xml:space="preserve">under </w:t>
      </w:r>
      <w:hyperlink r:id="rId37" w:history="1">
        <w:r w:rsidR="00CB2CC3" w:rsidRPr="00CC3BF0">
          <w:rPr>
            <w:rStyle w:val="Hyperlink"/>
          </w:rPr>
          <w:t>Finance Circular 4/2019</w:t>
        </w:r>
      </w:hyperlink>
      <w:r w:rsidRPr="00257CB4">
        <w:t>.</w:t>
      </w:r>
    </w:p>
    <w:bookmarkEnd w:id="6"/>
    <w:p w14:paraId="0DCBFBB9" w14:textId="77777777" w:rsidR="00B70127" w:rsidRPr="009E5DEF" w:rsidRDefault="00B70127" w:rsidP="001C74D4">
      <w:pPr>
        <w:spacing w:before="120" w:after="120"/>
        <w:rPr>
          <w:rFonts w:ascii="Verdana" w:hAnsi="Verdana"/>
          <w:b/>
          <w:sz w:val="22"/>
          <w:szCs w:val="22"/>
        </w:rPr>
      </w:pPr>
      <w:r w:rsidRPr="009E5DEF">
        <w:rPr>
          <w:rFonts w:ascii="Verdana" w:hAnsi="Verdana"/>
          <w:b/>
          <w:sz w:val="22"/>
          <w:szCs w:val="22"/>
        </w:rPr>
        <w:t xml:space="preserve">Interest on reserves </w:t>
      </w:r>
    </w:p>
    <w:p w14:paraId="5980CF58" w14:textId="123727D5" w:rsidR="00CF3C38" w:rsidRDefault="00CF3C38" w:rsidP="00CF3C38">
      <w:pPr>
        <w:pStyle w:val="ListParagraph"/>
        <w:numPr>
          <w:ilvl w:val="0"/>
          <w:numId w:val="15"/>
        </w:numPr>
        <w:spacing w:before="120" w:after="120"/>
      </w:pPr>
      <w:r>
        <w:t xml:space="preserve">Interest is to be presented as income or expenditure in the </w:t>
      </w:r>
      <w:r w:rsidRPr="00CF3C38">
        <w:t xml:space="preserve">Financing and Investment Income and Expenditure section of the </w:t>
      </w:r>
      <w:r>
        <w:t>Comprehensive Income and Expenditure Statement. Direct crediting of interest as income to reserves, or debiting of interest as an expense to reserves, is not permitted.</w:t>
      </w:r>
    </w:p>
    <w:p w14:paraId="72F8A061" w14:textId="6A6E6248" w:rsidR="005C3C0C" w:rsidRDefault="00B70127" w:rsidP="0031088A">
      <w:pPr>
        <w:pStyle w:val="ListParagraph"/>
        <w:numPr>
          <w:ilvl w:val="0"/>
          <w:numId w:val="15"/>
        </w:numPr>
        <w:spacing w:before="120" w:after="240"/>
      </w:pPr>
      <w:r w:rsidRPr="00A5682C">
        <w:t xml:space="preserve">The element of the interest that applies to the statutory </w:t>
      </w:r>
      <w:r w:rsidR="00DC0C12">
        <w:t>reserves</w:t>
      </w:r>
      <w:r w:rsidRPr="00A5682C">
        <w:t xml:space="preserve"> other than the General Fund should be included in a transfer to </w:t>
      </w:r>
      <w:r w:rsidR="00DC0C12">
        <w:t>the</w:t>
      </w:r>
      <w:r w:rsidRPr="00A5682C">
        <w:t xml:space="preserve"> other statutory reserves reported in the MiRS.</w:t>
      </w:r>
    </w:p>
    <w:p w14:paraId="22CDD184" w14:textId="3CFADB54" w:rsidR="00953FC5" w:rsidRPr="00A5682C" w:rsidRDefault="00953FC5" w:rsidP="0031088A">
      <w:pPr>
        <w:pStyle w:val="ListParagraph"/>
        <w:numPr>
          <w:ilvl w:val="0"/>
          <w:numId w:val="15"/>
        </w:numPr>
        <w:spacing w:before="120" w:after="240"/>
      </w:pPr>
      <w:r>
        <w:t xml:space="preserve">No entries are required </w:t>
      </w:r>
      <w:r w:rsidR="00A15818">
        <w:t>in respect of t</w:t>
      </w:r>
      <w:r w:rsidR="00A15818" w:rsidRPr="00A15818">
        <w:t>he element of interest that applies to the General Fund</w:t>
      </w:r>
      <w:r w:rsidR="00A15818">
        <w:t xml:space="preserve"> as that will automatically be credited</w:t>
      </w:r>
      <w:r w:rsidR="00CD61A6">
        <w:t xml:space="preserve"> to that reserve </w:t>
      </w:r>
      <w:r w:rsidR="004B6839">
        <w:t xml:space="preserve">as a consequence of </w:t>
      </w:r>
      <w:r w:rsidR="00D57AA7">
        <w:t>recognition in the CIES.</w:t>
      </w:r>
      <w:r w:rsidR="00CD61A6">
        <w:t xml:space="preserve"> </w:t>
      </w:r>
    </w:p>
    <w:p w14:paraId="472D93DC" w14:textId="77777777" w:rsidR="0005708A" w:rsidRDefault="0005708A" w:rsidP="001C74D4">
      <w:pPr>
        <w:pStyle w:val="Title"/>
        <w:spacing w:after="240"/>
      </w:pPr>
      <w:r>
        <w:t>Unusable reserves</w:t>
      </w:r>
    </w:p>
    <w:p w14:paraId="3A8E4B0B" w14:textId="77777777" w:rsidR="0005708A" w:rsidRPr="008478BF" w:rsidRDefault="0005708A" w:rsidP="001C74D4">
      <w:pPr>
        <w:pStyle w:val="Subtitle"/>
        <w:spacing w:after="120"/>
        <w:rPr>
          <w:rFonts w:ascii="Verdana" w:hAnsi="Verdana"/>
          <w:b/>
          <w:color w:val="auto"/>
          <w:sz w:val="20"/>
          <w:szCs w:val="20"/>
        </w:rPr>
      </w:pPr>
      <w:r w:rsidRPr="008478BF">
        <w:rPr>
          <w:rFonts w:ascii="Verdana" w:hAnsi="Verdana"/>
          <w:b/>
          <w:color w:val="auto"/>
          <w:sz w:val="20"/>
          <w:szCs w:val="20"/>
        </w:rPr>
        <w:t>Statutory basis</w:t>
      </w:r>
    </w:p>
    <w:p w14:paraId="7FE1C2F4" w14:textId="33B0D303" w:rsidR="00222BC7" w:rsidRDefault="00222BC7" w:rsidP="00DE6BB1">
      <w:pPr>
        <w:pStyle w:val="ListParagraph"/>
        <w:numPr>
          <w:ilvl w:val="0"/>
          <w:numId w:val="15"/>
        </w:numPr>
        <w:spacing w:before="120" w:after="120"/>
      </w:pPr>
      <w:r>
        <w:t>The Code classifies reserves as unusable when they arise</w:t>
      </w:r>
      <w:r w:rsidRPr="00222BC7">
        <w:t xml:space="preserve"> as a result of statutory adjustments and/or accounting gains or losses recognised in other comprehensive income and expenditure</w:t>
      </w:r>
      <w:r>
        <w:t xml:space="preserve"> rather than SDPS. They therefore cannot be used to fund the delivery of services and are therefore ‘unusable’ in that context.</w:t>
      </w:r>
      <w:r w:rsidR="00165CB4">
        <w:t xml:space="preserve"> </w:t>
      </w:r>
    </w:p>
    <w:p w14:paraId="219BDCDA" w14:textId="77777777" w:rsidR="004303AD" w:rsidRDefault="00222BC7" w:rsidP="00DE6BB1">
      <w:pPr>
        <w:pStyle w:val="ListParagraph"/>
        <w:numPr>
          <w:ilvl w:val="0"/>
          <w:numId w:val="15"/>
        </w:numPr>
        <w:spacing w:before="120" w:after="120"/>
      </w:pPr>
      <w:r>
        <w:t xml:space="preserve">Unusable reserves arise either as a consequence of accounting requirements that do not allow movements in </w:t>
      </w:r>
      <w:r w:rsidR="00DC0C12">
        <w:t xml:space="preserve">the </w:t>
      </w:r>
      <w:r>
        <w:t xml:space="preserve">value of assets to be recognised in the SDPS (e.g. revaluation reserve) or because they are part of a statutory adjustment that mitigates the impact of certain accounting standards </w:t>
      </w:r>
      <w:r w:rsidR="009A59CF">
        <w:t>on the General Fund.</w:t>
      </w:r>
    </w:p>
    <w:p w14:paraId="28C220F6" w14:textId="77777777" w:rsidR="00222BC7" w:rsidRPr="001C74D4" w:rsidRDefault="00222BC7" w:rsidP="001C74D4">
      <w:pPr>
        <w:spacing w:before="120" w:after="120"/>
        <w:rPr>
          <w:rFonts w:ascii="Verdana" w:hAnsi="Verdana"/>
          <w:b/>
          <w:sz w:val="20"/>
          <w:szCs w:val="20"/>
        </w:rPr>
      </w:pPr>
      <w:r w:rsidRPr="001C74D4">
        <w:rPr>
          <w:rFonts w:ascii="Verdana" w:hAnsi="Verdana"/>
          <w:b/>
          <w:sz w:val="20"/>
          <w:szCs w:val="20"/>
        </w:rPr>
        <w:t>Revaluation Reserve</w:t>
      </w:r>
    </w:p>
    <w:p w14:paraId="3A7740CE" w14:textId="77777777" w:rsidR="00222BC7" w:rsidRDefault="00222BC7" w:rsidP="00DE6BB1">
      <w:pPr>
        <w:pStyle w:val="ListParagraph"/>
        <w:numPr>
          <w:ilvl w:val="0"/>
          <w:numId w:val="15"/>
        </w:numPr>
        <w:spacing w:before="120" w:after="120"/>
      </w:pPr>
      <w:r>
        <w:t>The balance on the Revaluation Reserve represents the net increase (ignoring decreases below historical cost) in the value of non-current assets as a result of them being carried in the Balance Sheet at revalued amounts rather than historical cost. Historical cost is deemed to be the carrying amount of an asset (adjusted for subsequent depreciation or impairment) as at the later of:</w:t>
      </w:r>
    </w:p>
    <w:p w14:paraId="0BFDE499" w14:textId="77777777" w:rsidR="00222BC7" w:rsidRDefault="00222BC7" w:rsidP="001C74D4">
      <w:pPr>
        <w:pStyle w:val="ListParagraph"/>
        <w:numPr>
          <w:ilvl w:val="0"/>
          <w:numId w:val="27"/>
        </w:numPr>
        <w:spacing w:before="120" w:after="120"/>
      </w:pPr>
      <w:r>
        <w:t>1 April 2007 (i.e. the date that Revaluation Reserves were first established); or</w:t>
      </w:r>
    </w:p>
    <w:p w14:paraId="2637792E" w14:textId="77777777" w:rsidR="00222BC7" w:rsidRDefault="00222BC7" w:rsidP="001C74D4">
      <w:pPr>
        <w:pStyle w:val="ListParagraph"/>
        <w:numPr>
          <w:ilvl w:val="0"/>
          <w:numId w:val="27"/>
        </w:numPr>
        <w:spacing w:before="120" w:after="120"/>
      </w:pPr>
      <w:r>
        <w:t>the date of acquisition.</w:t>
      </w:r>
    </w:p>
    <w:p w14:paraId="3930AB02" w14:textId="09E38BEC" w:rsidR="00222BC7" w:rsidRDefault="00E80F9D" w:rsidP="00DE6BB1">
      <w:pPr>
        <w:pStyle w:val="ListParagraph"/>
        <w:numPr>
          <w:ilvl w:val="0"/>
          <w:numId w:val="15"/>
        </w:numPr>
        <w:spacing w:before="120" w:after="120"/>
      </w:pPr>
      <w:r w:rsidRPr="00E80F9D">
        <w:t xml:space="preserve">A summary of the permitted debits and credits to the Revaluation Reserve, </w:t>
      </w:r>
      <w:r w:rsidR="004B1618">
        <w:t xml:space="preserve">and guidance on each entry, </w:t>
      </w:r>
      <w:r w:rsidRPr="00E80F9D">
        <w:t>is provided in the following table</w:t>
      </w:r>
      <w:r w:rsidR="00222BC7">
        <w:t>:</w:t>
      </w:r>
    </w:p>
    <w:tbl>
      <w:tblPr>
        <w:tblStyle w:val="TableGrid"/>
        <w:tblW w:w="0" w:type="auto"/>
        <w:tblLook w:val="0620" w:firstRow="1" w:lastRow="0" w:firstColumn="0" w:lastColumn="0" w:noHBand="1" w:noVBand="1"/>
      </w:tblPr>
      <w:tblGrid>
        <w:gridCol w:w="3114"/>
        <w:gridCol w:w="5948"/>
      </w:tblGrid>
      <w:tr w:rsidR="0096371B" w:rsidRPr="00257CB4" w14:paraId="50716330" w14:textId="77777777" w:rsidTr="00EA4ED9">
        <w:tc>
          <w:tcPr>
            <w:tcW w:w="3114" w:type="dxa"/>
          </w:tcPr>
          <w:p w14:paraId="40EF7782" w14:textId="5158A20C" w:rsidR="0096371B" w:rsidRPr="001C74D4" w:rsidRDefault="0096371B" w:rsidP="00EA4ED9">
            <w:pPr>
              <w:spacing w:before="120" w:after="120"/>
              <w:rPr>
                <w:rFonts w:ascii="Verdana" w:hAnsi="Verdana"/>
                <w:b/>
                <w:sz w:val="22"/>
                <w:szCs w:val="22"/>
              </w:rPr>
            </w:pPr>
            <w:r>
              <w:rPr>
                <w:rFonts w:ascii="Verdana" w:hAnsi="Verdana"/>
                <w:b/>
                <w:sz w:val="22"/>
                <w:szCs w:val="22"/>
              </w:rPr>
              <w:lastRenderedPageBreak/>
              <w:t>Entries for Re</w:t>
            </w:r>
            <w:r w:rsidR="00A1194B">
              <w:rPr>
                <w:rFonts w:ascii="Verdana" w:hAnsi="Verdana"/>
                <w:b/>
                <w:sz w:val="22"/>
                <w:szCs w:val="22"/>
              </w:rPr>
              <w:t>valuation Reserve</w:t>
            </w:r>
          </w:p>
        </w:tc>
        <w:tc>
          <w:tcPr>
            <w:tcW w:w="5948" w:type="dxa"/>
          </w:tcPr>
          <w:p w14:paraId="3DC883B4" w14:textId="77777777" w:rsidR="0096371B" w:rsidRPr="001C74D4" w:rsidDel="00734012" w:rsidRDefault="0096371B" w:rsidP="00EA4ED9">
            <w:pPr>
              <w:spacing w:before="120" w:after="120"/>
              <w:rPr>
                <w:rFonts w:ascii="Verdana" w:hAnsi="Verdana"/>
                <w:b/>
                <w:sz w:val="22"/>
                <w:szCs w:val="22"/>
              </w:rPr>
            </w:pPr>
            <w:r>
              <w:rPr>
                <w:rFonts w:ascii="Verdana" w:hAnsi="Verdana"/>
                <w:b/>
                <w:sz w:val="22"/>
                <w:szCs w:val="22"/>
              </w:rPr>
              <w:t>Guidance</w:t>
            </w:r>
          </w:p>
        </w:tc>
      </w:tr>
      <w:tr w:rsidR="0096371B" w:rsidRPr="00257CB4" w14:paraId="2578A27A" w14:textId="77777777" w:rsidTr="00EA4ED9">
        <w:trPr>
          <w:trHeight w:val="389"/>
        </w:trPr>
        <w:tc>
          <w:tcPr>
            <w:tcW w:w="9062" w:type="dxa"/>
            <w:gridSpan w:val="2"/>
          </w:tcPr>
          <w:p w14:paraId="28F6F744" w14:textId="77777777" w:rsidR="0096371B" w:rsidRPr="001C74D4" w:rsidRDefault="0096371B" w:rsidP="00EA4ED9">
            <w:pPr>
              <w:spacing w:before="120" w:after="120"/>
              <w:rPr>
                <w:rFonts w:ascii="Verdana" w:hAnsi="Verdana"/>
                <w:b/>
                <w:sz w:val="22"/>
                <w:szCs w:val="22"/>
              </w:rPr>
            </w:pPr>
            <w:r w:rsidRPr="001C74D4">
              <w:rPr>
                <w:rFonts w:ascii="Verdana" w:hAnsi="Verdana"/>
                <w:b/>
                <w:sz w:val="22"/>
                <w:szCs w:val="22"/>
              </w:rPr>
              <w:t>Debits</w:t>
            </w:r>
          </w:p>
        </w:tc>
      </w:tr>
      <w:tr w:rsidR="0096371B" w:rsidRPr="00257CB4" w14:paraId="5866FA88" w14:textId="77777777" w:rsidTr="00EA4ED9">
        <w:trPr>
          <w:trHeight w:val="442"/>
        </w:trPr>
        <w:tc>
          <w:tcPr>
            <w:tcW w:w="3114" w:type="dxa"/>
          </w:tcPr>
          <w:p w14:paraId="1FFDF3B2" w14:textId="27FFB2D3" w:rsidR="0096371B" w:rsidRPr="00D41B93" w:rsidRDefault="00CB6704" w:rsidP="00EA4ED9">
            <w:pPr>
              <w:spacing w:before="120" w:after="120"/>
              <w:rPr>
                <w:rFonts w:ascii="Verdana" w:hAnsi="Verdana"/>
                <w:sz w:val="22"/>
                <w:szCs w:val="22"/>
              </w:rPr>
            </w:pPr>
            <w:r>
              <w:rPr>
                <w:rFonts w:ascii="Verdana" w:hAnsi="Verdana"/>
                <w:sz w:val="22"/>
                <w:szCs w:val="22"/>
              </w:rPr>
              <w:t>Rev</w:t>
            </w:r>
            <w:r w:rsidR="00F6511A">
              <w:rPr>
                <w:rFonts w:ascii="Verdana" w:hAnsi="Verdana"/>
                <w:sz w:val="22"/>
                <w:szCs w:val="22"/>
              </w:rPr>
              <w:t>aluation decreases</w:t>
            </w:r>
          </w:p>
        </w:tc>
        <w:tc>
          <w:tcPr>
            <w:tcW w:w="5948" w:type="dxa"/>
          </w:tcPr>
          <w:p w14:paraId="73C49A79" w14:textId="538B96BB" w:rsidR="0096371B" w:rsidRPr="00D41B93" w:rsidRDefault="00CF4D13" w:rsidP="00311AB0">
            <w:pPr>
              <w:spacing w:before="120" w:after="120"/>
              <w:rPr>
                <w:rFonts w:ascii="Verdana" w:hAnsi="Verdana"/>
                <w:sz w:val="22"/>
                <w:szCs w:val="22"/>
              </w:rPr>
            </w:pPr>
            <w:r w:rsidRPr="00CF4D13">
              <w:rPr>
                <w:rFonts w:ascii="Verdana" w:hAnsi="Verdana"/>
                <w:sz w:val="22"/>
                <w:szCs w:val="22"/>
              </w:rPr>
              <w:t>Impairment losses and revaluation decreases up to the credit balance on the reserve for the particular asset being impaired or revalued</w:t>
            </w:r>
            <w:r w:rsidR="006B7618">
              <w:rPr>
                <w:rFonts w:ascii="Verdana" w:hAnsi="Verdana"/>
                <w:sz w:val="22"/>
                <w:szCs w:val="22"/>
              </w:rPr>
              <w:t>.</w:t>
            </w:r>
          </w:p>
        </w:tc>
      </w:tr>
      <w:tr w:rsidR="0096371B" w:rsidRPr="00257CB4" w14:paraId="5430FC8A" w14:textId="77777777" w:rsidTr="00EA4ED9">
        <w:trPr>
          <w:trHeight w:val="442"/>
        </w:trPr>
        <w:tc>
          <w:tcPr>
            <w:tcW w:w="3114" w:type="dxa"/>
          </w:tcPr>
          <w:p w14:paraId="01A626E0" w14:textId="5367EA40" w:rsidR="0096371B" w:rsidRDefault="001B6096" w:rsidP="00EA4ED9">
            <w:pPr>
              <w:spacing w:before="120" w:after="120"/>
              <w:rPr>
                <w:rFonts w:ascii="Verdana" w:hAnsi="Verdana"/>
                <w:sz w:val="22"/>
                <w:szCs w:val="22"/>
              </w:rPr>
            </w:pPr>
            <w:r>
              <w:rPr>
                <w:rFonts w:ascii="Verdana" w:hAnsi="Verdana"/>
                <w:sz w:val="22"/>
                <w:szCs w:val="22"/>
              </w:rPr>
              <w:t>Asset disposals</w:t>
            </w:r>
          </w:p>
        </w:tc>
        <w:tc>
          <w:tcPr>
            <w:tcW w:w="5948" w:type="dxa"/>
          </w:tcPr>
          <w:p w14:paraId="5FA4E6A4" w14:textId="323216BA" w:rsidR="0096371B" w:rsidRPr="00D41B93" w:rsidRDefault="00CF4D13" w:rsidP="00DC5BE5">
            <w:pPr>
              <w:spacing w:before="120" w:after="120"/>
              <w:rPr>
                <w:rFonts w:ascii="Verdana" w:hAnsi="Verdana"/>
                <w:sz w:val="22"/>
                <w:szCs w:val="22"/>
              </w:rPr>
            </w:pPr>
            <w:r w:rsidRPr="00CF4D13">
              <w:rPr>
                <w:rFonts w:ascii="Verdana" w:hAnsi="Verdana"/>
                <w:sz w:val="22"/>
                <w:szCs w:val="22"/>
              </w:rPr>
              <w:t>An entry to remove the credit balance in respect of asset disposals</w:t>
            </w:r>
            <w:r w:rsidR="006B7618">
              <w:rPr>
                <w:rFonts w:ascii="Verdana" w:hAnsi="Verdana"/>
                <w:sz w:val="22"/>
                <w:szCs w:val="22"/>
              </w:rPr>
              <w:t>.</w:t>
            </w:r>
          </w:p>
        </w:tc>
      </w:tr>
      <w:tr w:rsidR="00CF4D13" w:rsidRPr="00257CB4" w14:paraId="707AC9C5" w14:textId="77777777" w:rsidTr="00EA4ED9">
        <w:trPr>
          <w:trHeight w:val="442"/>
        </w:trPr>
        <w:tc>
          <w:tcPr>
            <w:tcW w:w="3114" w:type="dxa"/>
          </w:tcPr>
          <w:p w14:paraId="6DA25A16" w14:textId="65D7A492" w:rsidR="00CF4D13" w:rsidRDefault="00D06DD6" w:rsidP="00EA4ED9">
            <w:pPr>
              <w:spacing w:before="120" w:after="120"/>
              <w:rPr>
                <w:rFonts w:ascii="Verdana" w:hAnsi="Verdana"/>
                <w:sz w:val="22"/>
                <w:szCs w:val="22"/>
              </w:rPr>
            </w:pPr>
            <w:r w:rsidRPr="00D06DD6">
              <w:rPr>
                <w:rFonts w:ascii="Verdana" w:hAnsi="Verdana"/>
                <w:sz w:val="22"/>
                <w:szCs w:val="22"/>
              </w:rPr>
              <w:t>An amount equal to the part of the depreciation charge incurred only because the asset is carried at current value rather than cost</w:t>
            </w:r>
          </w:p>
        </w:tc>
        <w:tc>
          <w:tcPr>
            <w:tcW w:w="5948" w:type="dxa"/>
          </w:tcPr>
          <w:p w14:paraId="0866F2BC" w14:textId="4FF84EAE" w:rsidR="00CF4D13" w:rsidRPr="00CF4D13" w:rsidRDefault="00CF4D13" w:rsidP="00CF4D13">
            <w:pPr>
              <w:spacing w:before="120" w:after="120"/>
              <w:rPr>
                <w:rFonts w:ascii="Verdana" w:hAnsi="Verdana"/>
                <w:sz w:val="22"/>
                <w:szCs w:val="22"/>
              </w:rPr>
            </w:pPr>
            <w:r w:rsidRPr="00CF4D13">
              <w:rPr>
                <w:rFonts w:ascii="Verdana" w:hAnsi="Verdana"/>
                <w:sz w:val="22"/>
                <w:szCs w:val="22"/>
              </w:rPr>
              <w:t>This is necessary so that the unrealised gains relating to the asset are not overstated (the corresponding credit should be a reserve transfer to the General Fund).</w:t>
            </w:r>
          </w:p>
        </w:tc>
      </w:tr>
      <w:tr w:rsidR="00CF4D13" w:rsidRPr="00257CB4" w14:paraId="2E376FBC" w14:textId="77777777" w:rsidTr="00DE1E39">
        <w:trPr>
          <w:trHeight w:val="442"/>
        </w:trPr>
        <w:tc>
          <w:tcPr>
            <w:tcW w:w="9062" w:type="dxa"/>
            <w:gridSpan w:val="2"/>
          </w:tcPr>
          <w:p w14:paraId="3BDD273F" w14:textId="02A6069C" w:rsidR="00CF4D13" w:rsidRPr="00D41B93" w:rsidRDefault="00CF4D13" w:rsidP="00EA4ED9">
            <w:pPr>
              <w:spacing w:before="120" w:after="120"/>
              <w:rPr>
                <w:rFonts w:ascii="Verdana" w:hAnsi="Verdana"/>
                <w:sz w:val="22"/>
                <w:szCs w:val="22"/>
              </w:rPr>
            </w:pPr>
            <w:r w:rsidRPr="00734012">
              <w:rPr>
                <w:rFonts w:ascii="Verdana" w:hAnsi="Verdana"/>
                <w:b/>
                <w:sz w:val="22"/>
                <w:szCs w:val="22"/>
              </w:rPr>
              <w:t>Credits</w:t>
            </w:r>
          </w:p>
        </w:tc>
      </w:tr>
      <w:tr w:rsidR="0096371B" w:rsidRPr="00257CB4" w14:paraId="1DF5F408" w14:textId="77777777" w:rsidTr="00EA4ED9">
        <w:trPr>
          <w:trHeight w:val="442"/>
        </w:trPr>
        <w:tc>
          <w:tcPr>
            <w:tcW w:w="3114" w:type="dxa"/>
          </w:tcPr>
          <w:p w14:paraId="1FC63C97" w14:textId="101E7F5F" w:rsidR="0096371B" w:rsidRDefault="002D623C" w:rsidP="00EA4ED9">
            <w:pPr>
              <w:spacing w:before="120" w:after="120"/>
              <w:rPr>
                <w:rFonts w:ascii="Verdana" w:hAnsi="Verdana"/>
                <w:sz w:val="22"/>
                <w:szCs w:val="22"/>
              </w:rPr>
            </w:pPr>
            <w:r>
              <w:rPr>
                <w:rFonts w:ascii="Verdana" w:hAnsi="Verdana"/>
                <w:sz w:val="22"/>
                <w:szCs w:val="22"/>
              </w:rPr>
              <w:t>Revaluation increases</w:t>
            </w:r>
          </w:p>
        </w:tc>
        <w:tc>
          <w:tcPr>
            <w:tcW w:w="5948" w:type="dxa"/>
          </w:tcPr>
          <w:p w14:paraId="49B0C803" w14:textId="03EF381D" w:rsidR="0096371B" w:rsidRPr="00D41B93" w:rsidRDefault="00CF4D13" w:rsidP="00EA4ED9">
            <w:pPr>
              <w:spacing w:before="120" w:after="120"/>
              <w:rPr>
                <w:rFonts w:ascii="Verdana" w:hAnsi="Verdana"/>
                <w:sz w:val="22"/>
                <w:szCs w:val="22"/>
              </w:rPr>
            </w:pPr>
            <w:r w:rsidRPr="00CF4D13">
              <w:rPr>
                <w:rFonts w:ascii="Verdana" w:hAnsi="Verdana"/>
                <w:sz w:val="22"/>
                <w:szCs w:val="22"/>
              </w:rPr>
              <w:t>This credit may be restricted for depreciation foregone in the event that the increase is reversing a previously recognised impairment.</w:t>
            </w:r>
          </w:p>
        </w:tc>
      </w:tr>
    </w:tbl>
    <w:p w14:paraId="536FAA54" w14:textId="77777777" w:rsidR="00222BC7" w:rsidRDefault="00222BC7" w:rsidP="00DE6BB1">
      <w:pPr>
        <w:pStyle w:val="ListParagraph"/>
        <w:numPr>
          <w:ilvl w:val="0"/>
          <w:numId w:val="15"/>
        </w:numPr>
        <w:spacing w:before="120" w:after="120"/>
      </w:pPr>
      <w:r>
        <w:t>The Revaluation Reserve balance requires to be built up from records of revaluation increases and decreases for each asset. It is therefore necessary that asset registers are capable of maintaining information at the level of individual assets, rather than as a pooled balance.</w:t>
      </w:r>
    </w:p>
    <w:p w14:paraId="7DE62F77" w14:textId="77777777" w:rsidR="001C74D4" w:rsidRPr="001C74D4" w:rsidRDefault="001C74D4" w:rsidP="009D07C3">
      <w:pPr>
        <w:spacing w:before="120" w:after="120"/>
        <w:rPr>
          <w:rFonts w:ascii="Verdana" w:hAnsi="Verdana"/>
          <w:b/>
          <w:sz w:val="20"/>
          <w:szCs w:val="20"/>
        </w:rPr>
      </w:pPr>
      <w:r w:rsidRPr="001C74D4">
        <w:rPr>
          <w:rFonts w:ascii="Verdana" w:hAnsi="Verdana"/>
          <w:b/>
          <w:sz w:val="20"/>
          <w:szCs w:val="20"/>
        </w:rPr>
        <w:t>Financial Instruments Revaluation Reserve</w:t>
      </w:r>
    </w:p>
    <w:p w14:paraId="284CAE99" w14:textId="6CE3664A" w:rsidR="00734012" w:rsidRPr="001C74D4" w:rsidRDefault="00951B29" w:rsidP="006F56B7">
      <w:pPr>
        <w:pStyle w:val="ListParagraph"/>
        <w:numPr>
          <w:ilvl w:val="0"/>
          <w:numId w:val="15"/>
        </w:numPr>
        <w:spacing w:before="120" w:after="120"/>
      </w:pPr>
      <w:r>
        <w:t xml:space="preserve">The Code also requires a separate revaluation reserve for financial instruments. </w:t>
      </w:r>
      <w:r w:rsidRPr="006F56B7">
        <w:t xml:space="preserve">A summary of the permitted debits and credits to the </w:t>
      </w:r>
      <w:r w:rsidRPr="00951B29">
        <w:t>Financial Instruments Revaluation Reserve</w:t>
      </w:r>
      <w:r w:rsidRPr="006F56B7">
        <w:t>, and guidance on each entry, is provided in the following table</w:t>
      </w:r>
      <w:r>
        <w:t>:</w:t>
      </w:r>
    </w:p>
    <w:tbl>
      <w:tblPr>
        <w:tblStyle w:val="TableGrid"/>
        <w:tblW w:w="0" w:type="auto"/>
        <w:tblLook w:val="0620" w:firstRow="1" w:lastRow="0" w:firstColumn="0" w:lastColumn="0" w:noHBand="1" w:noVBand="1"/>
      </w:tblPr>
      <w:tblGrid>
        <w:gridCol w:w="3114"/>
        <w:gridCol w:w="5948"/>
      </w:tblGrid>
      <w:tr w:rsidR="00C35312" w:rsidRPr="00257CB4" w14:paraId="1D5BD0A1" w14:textId="77777777" w:rsidTr="00EA4ED9">
        <w:tc>
          <w:tcPr>
            <w:tcW w:w="3114" w:type="dxa"/>
          </w:tcPr>
          <w:p w14:paraId="1E55395A" w14:textId="77777777" w:rsidR="00C35312" w:rsidRPr="001C74D4" w:rsidRDefault="00C35312" w:rsidP="00EA4ED9">
            <w:pPr>
              <w:spacing w:before="120" w:after="120"/>
              <w:rPr>
                <w:rFonts w:ascii="Verdana" w:hAnsi="Verdana"/>
                <w:b/>
                <w:sz w:val="22"/>
                <w:szCs w:val="22"/>
              </w:rPr>
            </w:pPr>
            <w:r>
              <w:rPr>
                <w:rFonts w:ascii="Verdana" w:hAnsi="Verdana"/>
                <w:b/>
                <w:sz w:val="22"/>
                <w:szCs w:val="22"/>
              </w:rPr>
              <w:t>Entries for Revaluation Reserve</w:t>
            </w:r>
          </w:p>
        </w:tc>
        <w:tc>
          <w:tcPr>
            <w:tcW w:w="5948" w:type="dxa"/>
          </w:tcPr>
          <w:p w14:paraId="4685FD86" w14:textId="77777777" w:rsidR="00C35312" w:rsidRPr="001C74D4" w:rsidDel="00734012" w:rsidRDefault="00C35312" w:rsidP="00EA4ED9">
            <w:pPr>
              <w:spacing w:before="120" w:after="120"/>
              <w:rPr>
                <w:rFonts w:ascii="Verdana" w:hAnsi="Verdana"/>
                <w:b/>
                <w:sz w:val="22"/>
                <w:szCs w:val="22"/>
              </w:rPr>
            </w:pPr>
            <w:r>
              <w:rPr>
                <w:rFonts w:ascii="Verdana" w:hAnsi="Verdana"/>
                <w:b/>
                <w:sz w:val="22"/>
                <w:szCs w:val="22"/>
              </w:rPr>
              <w:t>Guidance</w:t>
            </w:r>
          </w:p>
        </w:tc>
      </w:tr>
      <w:tr w:rsidR="00C35312" w:rsidRPr="00257CB4" w14:paraId="74FAE75B" w14:textId="77777777" w:rsidTr="00EA4ED9">
        <w:trPr>
          <w:trHeight w:val="389"/>
        </w:trPr>
        <w:tc>
          <w:tcPr>
            <w:tcW w:w="9062" w:type="dxa"/>
            <w:gridSpan w:val="2"/>
          </w:tcPr>
          <w:p w14:paraId="665F66E2" w14:textId="77777777" w:rsidR="00C35312" w:rsidRPr="001C74D4" w:rsidRDefault="00C35312" w:rsidP="00EA4ED9">
            <w:pPr>
              <w:spacing w:before="120" w:after="120"/>
              <w:rPr>
                <w:rFonts w:ascii="Verdana" w:hAnsi="Verdana"/>
                <w:b/>
                <w:sz w:val="22"/>
                <w:szCs w:val="22"/>
              </w:rPr>
            </w:pPr>
            <w:r w:rsidRPr="001C74D4">
              <w:rPr>
                <w:rFonts w:ascii="Verdana" w:hAnsi="Verdana"/>
                <w:b/>
                <w:sz w:val="22"/>
                <w:szCs w:val="22"/>
              </w:rPr>
              <w:t>Debits</w:t>
            </w:r>
          </w:p>
        </w:tc>
      </w:tr>
      <w:tr w:rsidR="00C35312" w:rsidRPr="00257CB4" w14:paraId="3A4E1BBE" w14:textId="77777777" w:rsidTr="00EA4ED9">
        <w:trPr>
          <w:trHeight w:val="442"/>
        </w:trPr>
        <w:tc>
          <w:tcPr>
            <w:tcW w:w="3114" w:type="dxa"/>
          </w:tcPr>
          <w:p w14:paraId="588A868B" w14:textId="2E3CB811" w:rsidR="00C35312" w:rsidRPr="00D41B93" w:rsidRDefault="006B797B" w:rsidP="00EA4ED9">
            <w:pPr>
              <w:spacing w:before="120" w:after="120"/>
              <w:rPr>
                <w:rFonts w:ascii="Verdana" w:hAnsi="Verdana"/>
                <w:sz w:val="22"/>
                <w:szCs w:val="22"/>
              </w:rPr>
            </w:pPr>
            <w:r>
              <w:rPr>
                <w:rFonts w:ascii="Verdana" w:hAnsi="Verdana"/>
                <w:sz w:val="22"/>
                <w:szCs w:val="22"/>
              </w:rPr>
              <w:t xml:space="preserve">Fair value </w:t>
            </w:r>
            <w:r w:rsidR="00C35312">
              <w:rPr>
                <w:rFonts w:ascii="Verdana" w:hAnsi="Verdana"/>
                <w:sz w:val="22"/>
                <w:szCs w:val="22"/>
              </w:rPr>
              <w:t>decreases</w:t>
            </w:r>
          </w:p>
        </w:tc>
        <w:tc>
          <w:tcPr>
            <w:tcW w:w="5948" w:type="dxa"/>
          </w:tcPr>
          <w:p w14:paraId="55585F55" w14:textId="0315C29A" w:rsidR="00C35312" w:rsidRPr="00D41B93" w:rsidRDefault="00151C45" w:rsidP="006C6D76">
            <w:pPr>
              <w:spacing w:before="120" w:after="120"/>
              <w:rPr>
                <w:rFonts w:ascii="Verdana" w:hAnsi="Verdana"/>
                <w:sz w:val="22"/>
                <w:szCs w:val="22"/>
              </w:rPr>
            </w:pPr>
            <w:r w:rsidRPr="00151C45">
              <w:rPr>
                <w:rFonts w:ascii="Verdana" w:hAnsi="Verdana"/>
                <w:sz w:val="22"/>
                <w:szCs w:val="22"/>
              </w:rPr>
              <w:t>A loss on a financial asset measured at fair value through other comprehensive income should be debited to th</w:t>
            </w:r>
            <w:r w:rsidR="001E3DFA">
              <w:rPr>
                <w:rFonts w:ascii="Verdana" w:hAnsi="Verdana"/>
                <w:sz w:val="22"/>
                <w:szCs w:val="22"/>
              </w:rPr>
              <w:t xml:space="preserve">is </w:t>
            </w:r>
            <w:r w:rsidRPr="00151C45">
              <w:rPr>
                <w:rFonts w:ascii="Verdana" w:hAnsi="Verdana"/>
                <w:sz w:val="22"/>
                <w:szCs w:val="22"/>
              </w:rPr>
              <w:t>reserve, except for impairment losses, until the financial asset is derecognised</w:t>
            </w:r>
            <w:r w:rsidR="00AD626F">
              <w:rPr>
                <w:rFonts w:ascii="Verdana" w:hAnsi="Verdana"/>
                <w:sz w:val="22"/>
                <w:szCs w:val="22"/>
              </w:rPr>
              <w:t>.</w:t>
            </w:r>
          </w:p>
        </w:tc>
      </w:tr>
      <w:tr w:rsidR="00C35312" w:rsidRPr="00257CB4" w14:paraId="2C670CE2" w14:textId="77777777" w:rsidTr="00EA4ED9">
        <w:trPr>
          <w:trHeight w:val="442"/>
        </w:trPr>
        <w:tc>
          <w:tcPr>
            <w:tcW w:w="3114" w:type="dxa"/>
          </w:tcPr>
          <w:p w14:paraId="618B1606" w14:textId="08792139" w:rsidR="00C35312" w:rsidRDefault="008A41F1" w:rsidP="00EA4ED9">
            <w:pPr>
              <w:spacing w:before="120" w:after="120"/>
              <w:rPr>
                <w:rFonts w:ascii="Verdana" w:hAnsi="Verdana"/>
                <w:sz w:val="22"/>
                <w:szCs w:val="22"/>
              </w:rPr>
            </w:pPr>
            <w:r>
              <w:rPr>
                <w:rFonts w:ascii="Verdana" w:hAnsi="Verdana"/>
                <w:sz w:val="22"/>
                <w:szCs w:val="22"/>
              </w:rPr>
              <w:t>Financial a</w:t>
            </w:r>
            <w:r w:rsidR="00C35312">
              <w:rPr>
                <w:rFonts w:ascii="Verdana" w:hAnsi="Verdana"/>
                <w:sz w:val="22"/>
                <w:szCs w:val="22"/>
              </w:rPr>
              <w:t>sset disposals</w:t>
            </w:r>
          </w:p>
        </w:tc>
        <w:tc>
          <w:tcPr>
            <w:tcW w:w="5948" w:type="dxa"/>
          </w:tcPr>
          <w:p w14:paraId="5FD7F208" w14:textId="77777777" w:rsidR="00AD626F" w:rsidRDefault="00F634EC" w:rsidP="00151C45">
            <w:pPr>
              <w:spacing w:before="120" w:after="120"/>
              <w:rPr>
                <w:rFonts w:ascii="Verdana" w:hAnsi="Verdana"/>
                <w:sz w:val="22"/>
                <w:szCs w:val="22"/>
              </w:rPr>
            </w:pPr>
            <w:r>
              <w:rPr>
                <w:rFonts w:ascii="Verdana" w:hAnsi="Verdana"/>
                <w:sz w:val="22"/>
                <w:szCs w:val="22"/>
              </w:rPr>
              <w:t>On de</w:t>
            </w:r>
            <w:r w:rsidR="00DC5BE5">
              <w:rPr>
                <w:rFonts w:ascii="Verdana" w:hAnsi="Verdana"/>
                <w:sz w:val="22"/>
                <w:szCs w:val="22"/>
              </w:rPr>
              <w:t>recognition</w:t>
            </w:r>
            <w:r w:rsidR="006D7E35">
              <w:rPr>
                <w:rFonts w:ascii="Verdana" w:hAnsi="Verdana"/>
                <w:sz w:val="22"/>
                <w:szCs w:val="22"/>
              </w:rPr>
              <w:t xml:space="preserve">, </w:t>
            </w:r>
            <w:r w:rsidR="004E015E">
              <w:rPr>
                <w:rFonts w:ascii="Verdana" w:hAnsi="Verdana"/>
                <w:sz w:val="22"/>
                <w:szCs w:val="22"/>
              </w:rPr>
              <w:t>a</w:t>
            </w:r>
            <w:r w:rsidR="006D7E35">
              <w:rPr>
                <w:rFonts w:ascii="Verdana" w:hAnsi="Verdana"/>
                <w:sz w:val="22"/>
                <w:szCs w:val="22"/>
              </w:rPr>
              <w:t xml:space="preserve"> cumulative loss </w:t>
            </w:r>
            <w:r w:rsidR="00693595">
              <w:rPr>
                <w:rFonts w:ascii="Verdana" w:hAnsi="Verdana"/>
                <w:sz w:val="22"/>
                <w:szCs w:val="22"/>
              </w:rPr>
              <w:t xml:space="preserve">should be reclassified </w:t>
            </w:r>
            <w:r w:rsidR="00F37C40">
              <w:rPr>
                <w:rFonts w:ascii="Verdana" w:hAnsi="Verdana"/>
                <w:sz w:val="22"/>
                <w:szCs w:val="22"/>
              </w:rPr>
              <w:t xml:space="preserve">to the </w:t>
            </w:r>
            <w:r w:rsidR="001E3DFA">
              <w:rPr>
                <w:rFonts w:ascii="Verdana" w:hAnsi="Verdana"/>
                <w:sz w:val="22"/>
                <w:szCs w:val="22"/>
              </w:rPr>
              <w:t>SDPS</w:t>
            </w:r>
            <w:r w:rsidR="00AD626F">
              <w:rPr>
                <w:rFonts w:ascii="Verdana" w:hAnsi="Verdana"/>
                <w:sz w:val="22"/>
                <w:szCs w:val="22"/>
              </w:rPr>
              <w:t xml:space="preserve"> in the CIES.</w:t>
            </w:r>
          </w:p>
          <w:p w14:paraId="44C0D24D" w14:textId="77777777" w:rsidR="00AD626F" w:rsidRDefault="00AD626F" w:rsidP="00151C45">
            <w:pPr>
              <w:spacing w:before="120" w:after="120"/>
              <w:rPr>
                <w:rFonts w:ascii="Verdana" w:hAnsi="Verdana"/>
                <w:sz w:val="22"/>
                <w:szCs w:val="22"/>
              </w:rPr>
            </w:pPr>
          </w:p>
          <w:p w14:paraId="297FF1AC" w14:textId="3450BC33" w:rsidR="00C35312" w:rsidRPr="00D41B93" w:rsidRDefault="00C35312" w:rsidP="00151C45">
            <w:pPr>
              <w:spacing w:before="120" w:after="120"/>
              <w:rPr>
                <w:rFonts w:ascii="Verdana" w:hAnsi="Verdana"/>
                <w:sz w:val="22"/>
                <w:szCs w:val="22"/>
              </w:rPr>
            </w:pPr>
          </w:p>
        </w:tc>
      </w:tr>
      <w:tr w:rsidR="00C35312" w:rsidRPr="00257CB4" w14:paraId="58C5A236" w14:textId="77777777" w:rsidTr="00EA4ED9">
        <w:trPr>
          <w:trHeight w:val="442"/>
        </w:trPr>
        <w:tc>
          <w:tcPr>
            <w:tcW w:w="9062" w:type="dxa"/>
            <w:gridSpan w:val="2"/>
          </w:tcPr>
          <w:p w14:paraId="2A9CB482" w14:textId="77777777" w:rsidR="00C35312" w:rsidRPr="00D41B93" w:rsidRDefault="00C35312" w:rsidP="00EA4ED9">
            <w:pPr>
              <w:spacing w:before="120" w:after="120"/>
              <w:rPr>
                <w:rFonts w:ascii="Verdana" w:hAnsi="Verdana"/>
                <w:sz w:val="22"/>
                <w:szCs w:val="22"/>
              </w:rPr>
            </w:pPr>
            <w:r w:rsidRPr="00734012">
              <w:rPr>
                <w:rFonts w:ascii="Verdana" w:hAnsi="Verdana"/>
                <w:b/>
                <w:sz w:val="22"/>
                <w:szCs w:val="22"/>
              </w:rPr>
              <w:lastRenderedPageBreak/>
              <w:t>Credits</w:t>
            </w:r>
          </w:p>
        </w:tc>
      </w:tr>
      <w:tr w:rsidR="0090229B" w:rsidRPr="00257CB4" w14:paraId="71B69316" w14:textId="77777777" w:rsidTr="00EA4ED9">
        <w:trPr>
          <w:trHeight w:val="442"/>
        </w:trPr>
        <w:tc>
          <w:tcPr>
            <w:tcW w:w="3114" w:type="dxa"/>
          </w:tcPr>
          <w:p w14:paraId="30ECDA4B" w14:textId="38824A37" w:rsidR="0090229B" w:rsidRDefault="0090229B" w:rsidP="0090229B">
            <w:pPr>
              <w:spacing w:before="120" w:after="120"/>
              <w:rPr>
                <w:rFonts w:ascii="Verdana" w:hAnsi="Verdana"/>
                <w:sz w:val="22"/>
                <w:szCs w:val="22"/>
              </w:rPr>
            </w:pPr>
            <w:r>
              <w:rPr>
                <w:rFonts w:ascii="Verdana" w:hAnsi="Verdana"/>
                <w:sz w:val="22"/>
                <w:szCs w:val="22"/>
              </w:rPr>
              <w:t>Fair value increases</w:t>
            </w:r>
          </w:p>
        </w:tc>
        <w:tc>
          <w:tcPr>
            <w:tcW w:w="5948" w:type="dxa"/>
          </w:tcPr>
          <w:p w14:paraId="097F3F93" w14:textId="36E3C7DF" w:rsidR="0090229B" w:rsidRPr="00D41B93" w:rsidRDefault="0090229B" w:rsidP="0090229B">
            <w:pPr>
              <w:spacing w:before="120" w:after="120"/>
              <w:rPr>
                <w:rFonts w:ascii="Verdana" w:hAnsi="Verdana"/>
                <w:sz w:val="22"/>
                <w:szCs w:val="22"/>
              </w:rPr>
            </w:pPr>
            <w:r w:rsidRPr="00151C45">
              <w:rPr>
                <w:rFonts w:ascii="Verdana" w:hAnsi="Verdana"/>
                <w:sz w:val="22"/>
                <w:szCs w:val="22"/>
              </w:rPr>
              <w:t xml:space="preserve">A </w:t>
            </w:r>
            <w:r w:rsidR="00FA1F60">
              <w:rPr>
                <w:rFonts w:ascii="Verdana" w:hAnsi="Verdana"/>
                <w:sz w:val="22"/>
                <w:szCs w:val="22"/>
              </w:rPr>
              <w:t>gain</w:t>
            </w:r>
            <w:r w:rsidRPr="00151C45">
              <w:rPr>
                <w:rFonts w:ascii="Verdana" w:hAnsi="Verdana"/>
                <w:sz w:val="22"/>
                <w:szCs w:val="22"/>
              </w:rPr>
              <w:t xml:space="preserve"> on a financial asset measured at fair value through other comprehensive income should be </w:t>
            </w:r>
            <w:r w:rsidR="00290130">
              <w:rPr>
                <w:rFonts w:ascii="Verdana" w:hAnsi="Verdana"/>
                <w:sz w:val="22"/>
                <w:szCs w:val="22"/>
              </w:rPr>
              <w:t>credited</w:t>
            </w:r>
            <w:r w:rsidRPr="00151C45">
              <w:rPr>
                <w:rFonts w:ascii="Verdana" w:hAnsi="Verdana"/>
                <w:sz w:val="22"/>
                <w:szCs w:val="22"/>
              </w:rPr>
              <w:t xml:space="preserve"> to the reserve</w:t>
            </w:r>
            <w:r w:rsidR="00290130">
              <w:rPr>
                <w:rFonts w:ascii="Verdana" w:hAnsi="Verdana"/>
                <w:sz w:val="22"/>
                <w:szCs w:val="22"/>
              </w:rPr>
              <w:t>,</w:t>
            </w:r>
            <w:r w:rsidRPr="00151C45">
              <w:rPr>
                <w:rFonts w:ascii="Verdana" w:hAnsi="Verdana"/>
                <w:sz w:val="22"/>
                <w:szCs w:val="22"/>
              </w:rPr>
              <w:t xml:space="preserve"> except for </w:t>
            </w:r>
            <w:r w:rsidR="004E015E">
              <w:rPr>
                <w:rFonts w:ascii="Verdana" w:hAnsi="Verdana"/>
                <w:sz w:val="22"/>
                <w:szCs w:val="22"/>
              </w:rPr>
              <w:t xml:space="preserve">reversal of </w:t>
            </w:r>
            <w:r w:rsidRPr="00151C45">
              <w:rPr>
                <w:rFonts w:ascii="Verdana" w:hAnsi="Verdana"/>
                <w:sz w:val="22"/>
                <w:szCs w:val="22"/>
              </w:rPr>
              <w:t>impairment losses, until the financial asset is derecognised</w:t>
            </w:r>
          </w:p>
        </w:tc>
      </w:tr>
      <w:tr w:rsidR="0090229B" w:rsidRPr="00257CB4" w14:paraId="41265734" w14:textId="77777777" w:rsidTr="00EA4ED9">
        <w:trPr>
          <w:trHeight w:val="442"/>
        </w:trPr>
        <w:tc>
          <w:tcPr>
            <w:tcW w:w="3114" w:type="dxa"/>
          </w:tcPr>
          <w:p w14:paraId="5C4387F0" w14:textId="14F67A59" w:rsidR="0090229B" w:rsidRDefault="0090229B" w:rsidP="0090229B">
            <w:pPr>
              <w:spacing w:before="120" w:after="120"/>
              <w:rPr>
                <w:rFonts w:ascii="Verdana" w:hAnsi="Verdana"/>
                <w:sz w:val="22"/>
                <w:szCs w:val="22"/>
              </w:rPr>
            </w:pPr>
            <w:r>
              <w:rPr>
                <w:rFonts w:ascii="Verdana" w:hAnsi="Verdana"/>
                <w:sz w:val="22"/>
                <w:szCs w:val="22"/>
              </w:rPr>
              <w:t>Financial asset disposals</w:t>
            </w:r>
          </w:p>
        </w:tc>
        <w:tc>
          <w:tcPr>
            <w:tcW w:w="5948" w:type="dxa"/>
          </w:tcPr>
          <w:p w14:paraId="25C2E70B" w14:textId="05CDD09A" w:rsidR="0090229B" w:rsidRPr="00CF4D13" w:rsidDel="002D623C" w:rsidRDefault="0090229B" w:rsidP="0090229B">
            <w:pPr>
              <w:spacing w:before="120" w:after="120"/>
              <w:rPr>
                <w:rFonts w:ascii="Verdana" w:hAnsi="Verdana"/>
                <w:sz w:val="22"/>
                <w:szCs w:val="22"/>
              </w:rPr>
            </w:pPr>
            <w:r>
              <w:rPr>
                <w:rFonts w:ascii="Verdana" w:hAnsi="Verdana"/>
                <w:sz w:val="22"/>
                <w:szCs w:val="22"/>
              </w:rPr>
              <w:t xml:space="preserve">On derecognition, </w:t>
            </w:r>
            <w:r w:rsidR="004E015E">
              <w:rPr>
                <w:rFonts w:ascii="Verdana" w:hAnsi="Verdana"/>
                <w:sz w:val="22"/>
                <w:szCs w:val="22"/>
              </w:rPr>
              <w:t>a</w:t>
            </w:r>
            <w:r>
              <w:rPr>
                <w:rFonts w:ascii="Verdana" w:hAnsi="Verdana"/>
                <w:sz w:val="22"/>
                <w:szCs w:val="22"/>
              </w:rPr>
              <w:t xml:space="preserve"> cumulative </w:t>
            </w:r>
            <w:r w:rsidR="004E015E">
              <w:rPr>
                <w:rFonts w:ascii="Verdana" w:hAnsi="Verdana"/>
                <w:sz w:val="22"/>
                <w:szCs w:val="22"/>
              </w:rPr>
              <w:t>gain</w:t>
            </w:r>
            <w:r>
              <w:rPr>
                <w:rFonts w:ascii="Verdana" w:hAnsi="Verdana"/>
                <w:sz w:val="22"/>
                <w:szCs w:val="22"/>
              </w:rPr>
              <w:t xml:space="preserve"> should be reclassified to the </w:t>
            </w:r>
            <w:r w:rsidR="007A7344">
              <w:rPr>
                <w:rFonts w:ascii="Verdana" w:hAnsi="Verdana"/>
                <w:sz w:val="22"/>
                <w:szCs w:val="22"/>
              </w:rPr>
              <w:t>SDPS in the CIES</w:t>
            </w:r>
            <w:r>
              <w:rPr>
                <w:rFonts w:ascii="Verdana" w:hAnsi="Verdana"/>
                <w:sz w:val="22"/>
                <w:szCs w:val="22"/>
              </w:rPr>
              <w:t xml:space="preserve"> </w:t>
            </w:r>
          </w:p>
        </w:tc>
      </w:tr>
    </w:tbl>
    <w:p w14:paraId="660EC89E" w14:textId="77777777" w:rsidR="00222BC7" w:rsidRPr="009D07C3" w:rsidRDefault="009D07C3" w:rsidP="0052410F">
      <w:pPr>
        <w:spacing w:before="240"/>
        <w:rPr>
          <w:rFonts w:ascii="Verdana" w:hAnsi="Verdana"/>
          <w:b/>
          <w:sz w:val="20"/>
          <w:szCs w:val="20"/>
        </w:rPr>
      </w:pPr>
      <w:r>
        <w:rPr>
          <w:rFonts w:ascii="Verdana" w:hAnsi="Verdana"/>
          <w:b/>
          <w:sz w:val="20"/>
          <w:szCs w:val="20"/>
        </w:rPr>
        <w:t xml:space="preserve">Statutory </w:t>
      </w:r>
      <w:r w:rsidR="00222BC7" w:rsidRPr="009D07C3">
        <w:rPr>
          <w:rFonts w:ascii="Verdana" w:hAnsi="Verdana"/>
          <w:b/>
          <w:sz w:val="20"/>
          <w:szCs w:val="20"/>
        </w:rPr>
        <w:t>Adjustment Account</w:t>
      </w:r>
      <w:r>
        <w:rPr>
          <w:rFonts w:ascii="Verdana" w:hAnsi="Verdana"/>
          <w:b/>
          <w:sz w:val="20"/>
          <w:szCs w:val="20"/>
        </w:rPr>
        <w:t>s</w:t>
      </w:r>
    </w:p>
    <w:p w14:paraId="0FBD01BF" w14:textId="77777777" w:rsidR="004303AD" w:rsidRDefault="004303AD" w:rsidP="004303AD">
      <w:pPr>
        <w:pStyle w:val="ListParagraph"/>
        <w:numPr>
          <w:ilvl w:val="0"/>
          <w:numId w:val="15"/>
        </w:numPr>
        <w:spacing w:before="120" w:after="120"/>
      </w:pPr>
      <w:r>
        <w:t xml:space="preserve">Statutory adjustments typically amend the timing of when a transaction or entry required by accounting standards is to be funded by a charge against the General Fund (taxpayer resources).These adjustments are normally specified in the Scottish Government’s </w:t>
      </w:r>
      <w:hyperlink r:id="rId38" w:history="1">
        <w:r w:rsidRPr="00F94603">
          <w:rPr>
            <w:rStyle w:val="Hyperlink"/>
          </w:rPr>
          <w:t>Local government finance circulars</w:t>
        </w:r>
      </w:hyperlink>
      <w:r>
        <w:t>.</w:t>
      </w:r>
    </w:p>
    <w:p w14:paraId="60333442" w14:textId="4ECD2358" w:rsidR="009D07C3" w:rsidRDefault="00222BC7" w:rsidP="004303AD">
      <w:pPr>
        <w:pStyle w:val="ListParagraph"/>
        <w:numPr>
          <w:ilvl w:val="0"/>
          <w:numId w:val="15"/>
        </w:numPr>
        <w:spacing w:before="120" w:after="120"/>
      </w:pPr>
      <w:r w:rsidRPr="009D07C3">
        <w:t>The</w:t>
      </w:r>
      <w:r w:rsidR="009D07C3">
        <w:t>re are currently four statutory adjustment accounts. This guidance does not seek to change the operation of those accounts not is it intended to provide details of how they should be operated. Practitioners are advised to refer to the relevant finance circular</w:t>
      </w:r>
      <w:r w:rsidR="00AA51A6">
        <w:t xml:space="preserve"> for the detailed requirements</w:t>
      </w:r>
      <w:r w:rsidR="009D07C3">
        <w:t>. However, in the interests of completeness, and for the convenience of practitioners, the names of each statutory adjustment account, a brief summary of its use, and the relevant finance circular</w:t>
      </w:r>
      <w:r w:rsidRPr="009D07C3">
        <w:t xml:space="preserve"> </w:t>
      </w:r>
      <w:r w:rsidR="009D07C3">
        <w:t>that governs it application are set out in the following table:</w:t>
      </w:r>
    </w:p>
    <w:tbl>
      <w:tblPr>
        <w:tblStyle w:val="TableGrid"/>
        <w:tblW w:w="0" w:type="auto"/>
        <w:tblInd w:w="360" w:type="dxa"/>
        <w:tblLook w:val="04A0" w:firstRow="1" w:lastRow="0" w:firstColumn="1" w:lastColumn="0" w:noHBand="0" w:noVBand="1"/>
      </w:tblPr>
      <w:tblGrid>
        <w:gridCol w:w="2153"/>
        <w:gridCol w:w="1586"/>
        <w:gridCol w:w="4963"/>
      </w:tblGrid>
      <w:tr w:rsidR="001F2249" w14:paraId="30DBF69F" w14:textId="77777777" w:rsidTr="00FF34A6">
        <w:tc>
          <w:tcPr>
            <w:tcW w:w="2187" w:type="dxa"/>
          </w:tcPr>
          <w:p w14:paraId="2768B72C" w14:textId="77777777" w:rsidR="009D07C3" w:rsidRPr="00FF34A6" w:rsidRDefault="009D07C3" w:rsidP="009D07C3">
            <w:pPr>
              <w:spacing w:before="120" w:after="120"/>
              <w:rPr>
                <w:rFonts w:ascii="Verdana" w:hAnsi="Verdana"/>
                <w:b/>
                <w:sz w:val="22"/>
                <w:szCs w:val="22"/>
              </w:rPr>
            </w:pPr>
            <w:r w:rsidRPr="00FF34A6">
              <w:rPr>
                <w:rFonts w:ascii="Verdana" w:hAnsi="Verdana"/>
                <w:b/>
                <w:sz w:val="22"/>
                <w:szCs w:val="22"/>
              </w:rPr>
              <w:t>Name</w:t>
            </w:r>
          </w:p>
        </w:tc>
        <w:tc>
          <w:tcPr>
            <w:tcW w:w="1417" w:type="dxa"/>
          </w:tcPr>
          <w:p w14:paraId="7747DBBD" w14:textId="77777777" w:rsidR="009D07C3" w:rsidRPr="00FF34A6" w:rsidRDefault="009D07C3" w:rsidP="009D07C3">
            <w:pPr>
              <w:spacing w:before="120" w:after="120"/>
              <w:rPr>
                <w:rFonts w:ascii="Verdana" w:hAnsi="Verdana"/>
                <w:b/>
                <w:sz w:val="22"/>
                <w:szCs w:val="22"/>
              </w:rPr>
            </w:pPr>
            <w:r w:rsidRPr="00FF34A6">
              <w:rPr>
                <w:rFonts w:ascii="Verdana" w:hAnsi="Verdana"/>
                <w:b/>
                <w:sz w:val="22"/>
                <w:szCs w:val="22"/>
              </w:rPr>
              <w:t>Finance circular</w:t>
            </w:r>
          </w:p>
        </w:tc>
        <w:tc>
          <w:tcPr>
            <w:tcW w:w="5098" w:type="dxa"/>
          </w:tcPr>
          <w:p w14:paraId="1AC5C9D0" w14:textId="77777777" w:rsidR="009D07C3" w:rsidRPr="00FF34A6" w:rsidRDefault="009D07C3" w:rsidP="009D07C3">
            <w:pPr>
              <w:spacing w:before="120" w:after="120"/>
              <w:rPr>
                <w:rFonts w:ascii="Verdana" w:hAnsi="Verdana"/>
                <w:b/>
                <w:sz w:val="22"/>
                <w:szCs w:val="22"/>
              </w:rPr>
            </w:pPr>
            <w:r w:rsidRPr="00FF34A6">
              <w:rPr>
                <w:rFonts w:ascii="Verdana" w:hAnsi="Verdana"/>
                <w:b/>
                <w:sz w:val="22"/>
                <w:szCs w:val="22"/>
              </w:rPr>
              <w:t>Summary of use</w:t>
            </w:r>
          </w:p>
        </w:tc>
      </w:tr>
      <w:tr w:rsidR="001F2249" w14:paraId="5EAA2FDF" w14:textId="77777777" w:rsidTr="00FF34A6">
        <w:tc>
          <w:tcPr>
            <w:tcW w:w="2187" w:type="dxa"/>
          </w:tcPr>
          <w:p w14:paraId="0191053C" w14:textId="77777777" w:rsidR="009D07C3" w:rsidRPr="00FF34A6" w:rsidRDefault="009D07C3" w:rsidP="009D07C3">
            <w:pPr>
              <w:spacing w:before="120" w:after="120"/>
              <w:rPr>
                <w:rFonts w:ascii="Verdana" w:hAnsi="Verdana"/>
                <w:sz w:val="22"/>
                <w:szCs w:val="22"/>
              </w:rPr>
            </w:pPr>
            <w:r w:rsidRPr="00FF34A6">
              <w:rPr>
                <w:rFonts w:ascii="Verdana" w:hAnsi="Verdana"/>
                <w:sz w:val="22"/>
                <w:szCs w:val="22"/>
              </w:rPr>
              <w:t>Capital Adjustment Account</w:t>
            </w:r>
          </w:p>
        </w:tc>
        <w:tc>
          <w:tcPr>
            <w:tcW w:w="1417" w:type="dxa"/>
          </w:tcPr>
          <w:p w14:paraId="28AD531D" w14:textId="1FDB77A7" w:rsidR="009D07C3" w:rsidRDefault="00B617D3" w:rsidP="009D07C3">
            <w:pPr>
              <w:spacing w:before="120" w:after="120"/>
              <w:rPr>
                <w:rFonts w:ascii="Verdana" w:hAnsi="Verdana"/>
                <w:sz w:val="22"/>
                <w:szCs w:val="22"/>
              </w:rPr>
            </w:pPr>
            <w:hyperlink r:id="rId39" w:history="1">
              <w:r w:rsidR="009E5DEF" w:rsidRPr="00B07EFC">
                <w:rPr>
                  <w:rStyle w:val="Hyperlink"/>
                  <w:rFonts w:ascii="Verdana" w:hAnsi="Verdana"/>
                  <w:sz w:val="22"/>
                  <w:szCs w:val="22"/>
                </w:rPr>
                <w:t>7/2016</w:t>
              </w:r>
            </w:hyperlink>
          </w:p>
          <w:p w14:paraId="33828F9C" w14:textId="43F4DE22" w:rsidR="009E5DEF" w:rsidRPr="00FF34A6" w:rsidRDefault="00B617D3" w:rsidP="009D07C3">
            <w:pPr>
              <w:spacing w:before="120" w:after="120"/>
              <w:rPr>
                <w:rFonts w:ascii="Verdana" w:hAnsi="Verdana"/>
                <w:sz w:val="22"/>
                <w:szCs w:val="22"/>
              </w:rPr>
            </w:pPr>
            <w:hyperlink r:id="rId40" w:history="1">
              <w:r w:rsidR="009E5DEF" w:rsidRPr="003A3C12">
                <w:rPr>
                  <w:rStyle w:val="Hyperlink"/>
                  <w:rFonts w:ascii="Verdana" w:hAnsi="Verdana"/>
                  <w:sz w:val="22"/>
                  <w:szCs w:val="22"/>
                </w:rPr>
                <w:t>3/2018</w:t>
              </w:r>
            </w:hyperlink>
          </w:p>
        </w:tc>
        <w:tc>
          <w:tcPr>
            <w:tcW w:w="5098" w:type="dxa"/>
          </w:tcPr>
          <w:p w14:paraId="4431577C" w14:textId="7371FCBA" w:rsidR="009D07C3" w:rsidRDefault="00A51C4F" w:rsidP="009D07C3">
            <w:pPr>
              <w:spacing w:before="120" w:after="120"/>
              <w:rPr>
                <w:rFonts w:ascii="Verdana" w:hAnsi="Verdana"/>
                <w:sz w:val="22"/>
                <w:szCs w:val="22"/>
              </w:rPr>
            </w:pPr>
            <w:r>
              <w:rPr>
                <w:rFonts w:ascii="Verdana" w:hAnsi="Verdana"/>
                <w:sz w:val="22"/>
                <w:szCs w:val="22"/>
              </w:rPr>
              <w:t>T</w:t>
            </w:r>
            <w:r w:rsidR="00F869FF">
              <w:rPr>
                <w:rFonts w:ascii="Verdana" w:hAnsi="Verdana"/>
                <w:sz w:val="22"/>
                <w:szCs w:val="22"/>
              </w:rPr>
              <w:t xml:space="preserve">o hold </w:t>
            </w:r>
            <w:r w:rsidR="005C04CC">
              <w:rPr>
                <w:rFonts w:ascii="Verdana" w:hAnsi="Verdana"/>
                <w:sz w:val="22"/>
                <w:szCs w:val="22"/>
              </w:rPr>
              <w:t xml:space="preserve">statutory adjustments in respect of capital such as </w:t>
            </w:r>
            <w:r w:rsidR="00E3292E">
              <w:rPr>
                <w:rFonts w:ascii="Verdana" w:hAnsi="Verdana"/>
                <w:sz w:val="22"/>
                <w:szCs w:val="22"/>
              </w:rPr>
              <w:t xml:space="preserve">those </w:t>
            </w:r>
            <w:r w:rsidR="00D635DD">
              <w:rPr>
                <w:rFonts w:ascii="Verdana" w:hAnsi="Verdana"/>
                <w:sz w:val="22"/>
                <w:szCs w:val="22"/>
              </w:rPr>
              <w:t xml:space="preserve">removing </w:t>
            </w:r>
            <w:r w:rsidR="004C3E0E">
              <w:rPr>
                <w:rFonts w:ascii="Verdana" w:hAnsi="Verdana"/>
                <w:sz w:val="22"/>
                <w:szCs w:val="22"/>
              </w:rPr>
              <w:t xml:space="preserve">from the </w:t>
            </w:r>
            <w:r w:rsidR="000E0DE4">
              <w:rPr>
                <w:rFonts w:ascii="Verdana" w:hAnsi="Verdana"/>
                <w:sz w:val="22"/>
                <w:szCs w:val="22"/>
              </w:rPr>
              <w:t>G</w:t>
            </w:r>
            <w:r w:rsidR="004C3E0E">
              <w:rPr>
                <w:rFonts w:ascii="Verdana" w:hAnsi="Verdana"/>
                <w:sz w:val="22"/>
                <w:szCs w:val="22"/>
              </w:rPr>
              <w:t xml:space="preserve">eneral </w:t>
            </w:r>
            <w:r w:rsidR="000E0DE4">
              <w:rPr>
                <w:rFonts w:ascii="Verdana" w:hAnsi="Verdana"/>
                <w:sz w:val="22"/>
                <w:szCs w:val="22"/>
              </w:rPr>
              <w:t>F</w:t>
            </w:r>
            <w:r w:rsidR="004C3E0E">
              <w:rPr>
                <w:rFonts w:ascii="Verdana" w:hAnsi="Verdana"/>
                <w:sz w:val="22"/>
                <w:szCs w:val="22"/>
              </w:rPr>
              <w:t xml:space="preserve">und charges for </w:t>
            </w:r>
            <w:r w:rsidR="00D635DD">
              <w:rPr>
                <w:rFonts w:ascii="Verdana" w:hAnsi="Verdana"/>
                <w:sz w:val="22"/>
                <w:szCs w:val="22"/>
              </w:rPr>
              <w:t xml:space="preserve">depreciation, impairment, </w:t>
            </w:r>
            <w:r w:rsidR="000E0DE4">
              <w:rPr>
                <w:rFonts w:ascii="Verdana" w:hAnsi="Verdana"/>
                <w:sz w:val="22"/>
                <w:szCs w:val="22"/>
              </w:rPr>
              <w:t>revenue expenditure funded from borrowing</w:t>
            </w:r>
            <w:r w:rsidR="00AC7C5B">
              <w:rPr>
                <w:rFonts w:ascii="Verdana" w:hAnsi="Verdana"/>
                <w:sz w:val="22"/>
                <w:szCs w:val="22"/>
              </w:rPr>
              <w:t xml:space="preserve">, </w:t>
            </w:r>
            <w:r w:rsidR="00DF4F82">
              <w:rPr>
                <w:rFonts w:ascii="Verdana" w:hAnsi="Verdana"/>
                <w:sz w:val="22"/>
                <w:szCs w:val="22"/>
              </w:rPr>
              <w:t xml:space="preserve">capital grants </w:t>
            </w:r>
            <w:r w:rsidR="00AC7C5B">
              <w:rPr>
                <w:rFonts w:ascii="Verdana" w:hAnsi="Verdana"/>
                <w:sz w:val="22"/>
                <w:szCs w:val="22"/>
              </w:rPr>
              <w:t xml:space="preserve">and charging </w:t>
            </w:r>
            <w:r w:rsidR="00E3292E">
              <w:rPr>
                <w:rFonts w:ascii="Verdana" w:hAnsi="Verdana"/>
                <w:sz w:val="22"/>
                <w:szCs w:val="22"/>
              </w:rPr>
              <w:t xml:space="preserve">to </w:t>
            </w:r>
            <w:r w:rsidR="00AC7C5B">
              <w:rPr>
                <w:rFonts w:ascii="Verdana" w:hAnsi="Verdana"/>
                <w:sz w:val="22"/>
                <w:szCs w:val="22"/>
              </w:rPr>
              <w:t xml:space="preserve">the General Fund </w:t>
            </w:r>
            <w:r w:rsidR="008A4D0A">
              <w:rPr>
                <w:rFonts w:ascii="Verdana" w:hAnsi="Verdana"/>
                <w:sz w:val="22"/>
                <w:szCs w:val="22"/>
              </w:rPr>
              <w:t xml:space="preserve">repayments to the Loans Fund. </w:t>
            </w:r>
          </w:p>
          <w:p w14:paraId="6627B4E2" w14:textId="77777777" w:rsidR="006B4C88" w:rsidRDefault="006B4C88" w:rsidP="009D07C3">
            <w:pPr>
              <w:spacing w:before="120" w:after="120"/>
              <w:rPr>
                <w:rFonts w:ascii="Verdana" w:hAnsi="Verdana"/>
                <w:sz w:val="22"/>
                <w:szCs w:val="22"/>
              </w:rPr>
            </w:pPr>
          </w:p>
          <w:p w14:paraId="32CC3215" w14:textId="3F95854D" w:rsidR="006B4C88" w:rsidRPr="00FF34A6" w:rsidRDefault="006B4C88" w:rsidP="009D07C3">
            <w:pPr>
              <w:spacing w:before="120" w:after="120"/>
              <w:rPr>
                <w:rFonts w:ascii="Verdana" w:hAnsi="Verdana"/>
                <w:sz w:val="22"/>
                <w:szCs w:val="22"/>
              </w:rPr>
            </w:pPr>
          </w:p>
        </w:tc>
      </w:tr>
      <w:tr w:rsidR="001F2249" w14:paraId="6F98567C" w14:textId="77777777" w:rsidTr="00FF34A6">
        <w:tc>
          <w:tcPr>
            <w:tcW w:w="2187" w:type="dxa"/>
          </w:tcPr>
          <w:p w14:paraId="41FB7735" w14:textId="77777777" w:rsidR="009D07C3" w:rsidRPr="00FF34A6" w:rsidRDefault="009D07C3" w:rsidP="009D07C3">
            <w:pPr>
              <w:spacing w:before="120" w:after="120"/>
              <w:rPr>
                <w:rFonts w:ascii="Verdana" w:hAnsi="Verdana"/>
                <w:sz w:val="22"/>
                <w:szCs w:val="22"/>
              </w:rPr>
            </w:pPr>
            <w:r w:rsidRPr="00FF34A6">
              <w:rPr>
                <w:rFonts w:ascii="Verdana" w:hAnsi="Verdana"/>
                <w:sz w:val="22"/>
                <w:szCs w:val="22"/>
              </w:rPr>
              <w:t>Financial Instruments Adjustment Account</w:t>
            </w:r>
          </w:p>
        </w:tc>
        <w:tc>
          <w:tcPr>
            <w:tcW w:w="1417" w:type="dxa"/>
          </w:tcPr>
          <w:p w14:paraId="671911B4" w14:textId="2E3CDE2B" w:rsidR="009D07C3" w:rsidRPr="00FF34A6" w:rsidRDefault="00B617D3" w:rsidP="009D07C3">
            <w:pPr>
              <w:spacing w:before="120" w:after="120"/>
              <w:rPr>
                <w:rFonts w:ascii="Verdana" w:hAnsi="Verdana"/>
                <w:sz w:val="22"/>
                <w:szCs w:val="22"/>
              </w:rPr>
            </w:pPr>
            <w:hyperlink r:id="rId41" w:history="1">
              <w:r w:rsidR="009E5DEF" w:rsidRPr="00B42424">
                <w:rPr>
                  <w:rStyle w:val="Hyperlink"/>
                  <w:rFonts w:ascii="Verdana" w:hAnsi="Verdana"/>
                  <w:sz w:val="22"/>
                  <w:szCs w:val="22"/>
                </w:rPr>
                <w:t>7/2018</w:t>
              </w:r>
            </w:hyperlink>
          </w:p>
        </w:tc>
        <w:tc>
          <w:tcPr>
            <w:tcW w:w="5098" w:type="dxa"/>
          </w:tcPr>
          <w:p w14:paraId="59978F22" w14:textId="272EBF02" w:rsidR="0032071D" w:rsidRDefault="00A51C4F" w:rsidP="009D07C3">
            <w:pPr>
              <w:spacing w:before="120" w:after="120"/>
              <w:rPr>
                <w:rFonts w:ascii="Verdana" w:hAnsi="Verdana"/>
                <w:sz w:val="22"/>
                <w:szCs w:val="22"/>
              </w:rPr>
            </w:pPr>
            <w:r>
              <w:rPr>
                <w:rFonts w:ascii="Verdana" w:hAnsi="Verdana"/>
                <w:sz w:val="22"/>
                <w:szCs w:val="22"/>
              </w:rPr>
              <w:t xml:space="preserve">To </w:t>
            </w:r>
            <w:r w:rsidR="00295E68">
              <w:rPr>
                <w:rFonts w:ascii="Verdana" w:hAnsi="Verdana"/>
                <w:sz w:val="22"/>
                <w:szCs w:val="22"/>
              </w:rPr>
              <w:t xml:space="preserve">hold </w:t>
            </w:r>
            <w:r w:rsidR="006D603D">
              <w:rPr>
                <w:rFonts w:ascii="Verdana" w:hAnsi="Verdana"/>
                <w:sz w:val="22"/>
                <w:szCs w:val="22"/>
              </w:rPr>
              <w:t>statutory adjustment</w:t>
            </w:r>
            <w:r w:rsidR="001F2249">
              <w:rPr>
                <w:rFonts w:ascii="Verdana" w:hAnsi="Verdana"/>
                <w:sz w:val="22"/>
                <w:szCs w:val="22"/>
              </w:rPr>
              <w:t>s</w:t>
            </w:r>
            <w:r w:rsidR="006D603D">
              <w:rPr>
                <w:rFonts w:ascii="Verdana" w:hAnsi="Verdana"/>
                <w:sz w:val="22"/>
                <w:szCs w:val="22"/>
              </w:rPr>
              <w:t xml:space="preserve"> </w:t>
            </w:r>
            <w:r w:rsidR="001F2249">
              <w:rPr>
                <w:rFonts w:ascii="Verdana" w:hAnsi="Verdana"/>
                <w:sz w:val="22"/>
                <w:szCs w:val="22"/>
              </w:rPr>
              <w:t>in respect of financial instruments</w:t>
            </w:r>
            <w:r w:rsidR="00AD3E02">
              <w:rPr>
                <w:rFonts w:ascii="Verdana" w:hAnsi="Verdana"/>
                <w:sz w:val="22"/>
                <w:szCs w:val="22"/>
              </w:rPr>
              <w:t xml:space="preserve"> such as</w:t>
            </w:r>
            <w:r w:rsidR="00295E68">
              <w:rPr>
                <w:rFonts w:ascii="Verdana" w:hAnsi="Verdana"/>
                <w:sz w:val="22"/>
                <w:szCs w:val="22"/>
              </w:rPr>
              <w:t>:</w:t>
            </w:r>
          </w:p>
          <w:p w14:paraId="47C92458" w14:textId="45D7D669" w:rsidR="009D07C3" w:rsidRPr="00A51C4F" w:rsidRDefault="009D07C3" w:rsidP="00A51C4F">
            <w:pPr>
              <w:pStyle w:val="ListParagraph"/>
              <w:numPr>
                <w:ilvl w:val="0"/>
                <w:numId w:val="31"/>
              </w:numPr>
              <w:spacing w:before="120" w:after="120"/>
            </w:pPr>
            <w:r w:rsidRPr="00A51C4F">
              <w:t>credit</w:t>
            </w:r>
            <w:r w:rsidR="00366C50" w:rsidRPr="00A51C4F">
              <w:t xml:space="preserve">s </w:t>
            </w:r>
            <w:r w:rsidR="008523EB" w:rsidRPr="00A51C4F">
              <w:t xml:space="preserve">(debits) </w:t>
            </w:r>
            <w:r w:rsidR="00366C50" w:rsidRPr="00A51C4F">
              <w:t>for</w:t>
            </w:r>
            <w:r w:rsidRPr="00A51C4F">
              <w:t xml:space="preserve"> the annual amortisation of premiums </w:t>
            </w:r>
            <w:r w:rsidR="008523EB" w:rsidRPr="00A51C4F">
              <w:t xml:space="preserve">(discounts) </w:t>
            </w:r>
            <w:r w:rsidRPr="00A51C4F">
              <w:t>on the extinguishment of debt</w:t>
            </w:r>
          </w:p>
          <w:p w14:paraId="0B69A980" w14:textId="000E3C3F" w:rsidR="009D07C3" w:rsidRPr="00A51C4F" w:rsidRDefault="009D07C3" w:rsidP="00A51C4F">
            <w:pPr>
              <w:pStyle w:val="ListParagraph"/>
              <w:numPr>
                <w:ilvl w:val="0"/>
                <w:numId w:val="31"/>
              </w:numPr>
              <w:spacing w:before="120" w:after="120"/>
            </w:pPr>
            <w:r w:rsidRPr="00A51C4F">
              <w:t>debit</w:t>
            </w:r>
            <w:r w:rsidR="008523EB" w:rsidRPr="00A51C4F">
              <w:t>s</w:t>
            </w:r>
            <w:r w:rsidRPr="00A51C4F">
              <w:t xml:space="preserve"> or credit </w:t>
            </w:r>
            <w:r w:rsidR="008523EB" w:rsidRPr="00A51C4F">
              <w:t>for</w:t>
            </w:r>
            <w:r w:rsidRPr="00A51C4F">
              <w:t xml:space="preserve"> the difference between the effective interest on 'stepped' loans held at 31 March 2007 and the contract interest.  </w:t>
            </w:r>
          </w:p>
        </w:tc>
      </w:tr>
      <w:tr w:rsidR="001F2249" w14:paraId="475DAC49" w14:textId="77777777" w:rsidTr="00FF34A6">
        <w:tc>
          <w:tcPr>
            <w:tcW w:w="2187" w:type="dxa"/>
          </w:tcPr>
          <w:p w14:paraId="423ABBB9" w14:textId="77777777" w:rsidR="009D07C3" w:rsidRPr="00FF34A6" w:rsidRDefault="009D07C3" w:rsidP="009D07C3">
            <w:pPr>
              <w:spacing w:before="120" w:after="120"/>
              <w:rPr>
                <w:rFonts w:ascii="Verdana" w:hAnsi="Verdana"/>
                <w:sz w:val="22"/>
                <w:szCs w:val="22"/>
              </w:rPr>
            </w:pPr>
            <w:r w:rsidRPr="00FF34A6">
              <w:rPr>
                <w:rFonts w:ascii="Verdana" w:hAnsi="Verdana"/>
                <w:sz w:val="22"/>
                <w:szCs w:val="22"/>
              </w:rPr>
              <w:lastRenderedPageBreak/>
              <w:t>Employee Statutory Adjustment Account</w:t>
            </w:r>
          </w:p>
        </w:tc>
        <w:tc>
          <w:tcPr>
            <w:tcW w:w="1417" w:type="dxa"/>
          </w:tcPr>
          <w:p w14:paraId="6240789A" w14:textId="2673D274" w:rsidR="009D07C3" w:rsidRPr="00FF34A6" w:rsidRDefault="00B617D3" w:rsidP="009D07C3">
            <w:pPr>
              <w:spacing w:before="120" w:after="120"/>
              <w:rPr>
                <w:rFonts w:ascii="Verdana" w:hAnsi="Verdana"/>
                <w:sz w:val="22"/>
                <w:szCs w:val="22"/>
              </w:rPr>
            </w:pPr>
            <w:hyperlink r:id="rId42" w:history="1">
              <w:r w:rsidR="00D62293" w:rsidRPr="004C66DD">
                <w:rPr>
                  <w:rStyle w:val="Hyperlink"/>
                  <w:rFonts w:ascii="Verdana" w:hAnsi="Verdana"/>
                  <w:sz w:val="22"/>
                  <w:szCs w:val="22"/>
                </w:rPr>
                <w:t>2/2018</w:t>
              </w:r>
            </w:hyperlink>
          </w:p>
        </w:tc>
        <w:tc>
          <w:tcPr>
            <w:tcW w:w="5098" w:type="dxa"/>
          </w:tcPr>
          <w:p w14:paraId="55FDAEF7" w14:textId="77777777" w:rsidR="00295E68" w:rsidRDefault="00295E68" w:rsidP="009D07C3">
            <w:pPr>
              <w:spacing w:before="120" w:after="120"/>
              <w:rPr>
                <w:rFonts w:ascii="Verdana" w:hAnsi="Verdana"/>
                <w:sz w:val="22"/>
                <w:szCs w:val="22"/>
              </w:rPr>
            </w:pPr>
            <w:r>
              <w:rPr>
                <w:rFonts w:ascii="Verdana" w:hAnsi="Verdana"/>
                <w:sz w:val="22"/>
                <w:szCs w:val="22"/>
              </w:rPr>
              <w:t>To hold statutory adjustments in respect of</w:t>
            </w:r>
          </w:p>
          <w:p w14:paraId="5E5FA853" w14:textId="57FACAA0" w:rsidR="009D07C3" w:rsidRPr="00AC7258" w:rsidRDefault="009D07C3" w:rsidP="00AC7258">
            <w:pPr>
              <w:pStyle w:val="ListParagraph"/>
              <w:numPr>
                <w:ilvl w:val="0"/>
                <w:numId w:val="32"/>
              </w:numPr>
              <w:spacing w:before="120" w:after="120"/>
            </w:pPr>
            <w:r w:rsidRPr="00AC7258">
              <w:t xml:space="preserve">remove from the General Fund the net increase or decrease in the untaken annual leave liability during </w:t>
            </w:r>
            <w:r w:rsidR="00AC7258" w:rsidRPr="00AC7258">
              <w:t>the year</w:t>
            </w:r>
          </w:p>
          <w:p w14:paraId="16C96613" w14:textId="6BEB0914" w:rsidR="009D07C3" w:rsidRPr="00AC7258" w:rsidRDefault="009D07C3" w:rsidP="00AC7258">
            <w:pPr>
              <w:pStyle w:val="ListParagraph"/>
              <w:numPr>
                <w:ilvl w:val="0"/>
                <w:numId w:val="32"/>
              </w:numPr>
              <w:spacing w:before="120" w:after="120"/>
            </w:pPr>
            <w:r w:rsidRPr="00AC7258">
              <w:t>the deferred charge for the equal pay provision.</w:t>
            </w:r>
          </w:p>
        </w:tc>
      </w:tr>
      <w:tr w:rsidR="001F2249" w14:paraId="51A57014" w14:textId="77777777" w:rsidTr="00FF34A6">
        <w:tc>
          <w:tcPr>
            <w:tcW w:w="2187" w:type="dxa"/>
          </w:tcPr>
          <w:p w14:paraId="6FA74E00" w14:textId="77777777" w:rsidR="00FF34A6" w:rsidRPr="00FF34A6" w:rsidRDefault="00FF34A6" w:rsidP="009D07C3">
            <w:pPr>
              <w:spacing w:before="120" w:after="120"/>
              <w:rPr>
                <w:rFonts w:ascii="Verdana" w:hAnsi="Verdana"/>
                <w:sz w:val="22"/>
                <w:szCs w:val="22"/>
              </w:rPr>
            </w:pPr>
            <w:r w:rsidRPr="00FF34A6">
              <w:rPr>
                <w:rFonts w:ascii="Verdana" w:hAnsi="Verdana"/>
                <w:sz w:val="22"/>
                <w:szCs w:val="22"/>
              </w:rPr>
              <w:t>Pension reserve</w:t>
            </w:r>
          </w:p>
        </w:tc>
        <w:tc>
          <w:tcPr>
            <w:tcW w:w="1417" w:type="dxa"/>
          </w:tcPr>
          <w:p w14:paraId="77F5DE9D" w14:textId="6ADCAB10" w:rsidR="00D62293" w:rsidRDefault="00B617D3" w:rsidP="009D07C3">
            <w:pPr>
              <w:spacing w:before="120" w:after="120"/>
              <w:rPr>
                <w:rFonts w:ascii="Verdana" w:hAnsi="Verdana"/>
                <w:sz w:val="22"/>
                <w:szCs w:val="22"/>
              </w:rPr>
            </w:pPr>
            <w:hyperlink r:id="rId43" w:history="1">
              <w:r w:rsidR="005D7A07" w:rsidRPr="004C66DD">
                <w:rPr>
                  <w:rStyle w:val="Hyperlink"/>
                  <w:rFonts w:ascii="Verdana" w:hAnsi="Verdana"/>
                  <w:sz w:val="22"/>
                  <w:szCs w:val="22"/>
                </w:rPr>
                <w:t>4/</w:t>
              </w:r>
              <w:r w:rsidR="00AA1D0F" w:rsidRPr="004C66DD">
                <w:rPr>
                  <w:rStyle w:val="Hyperlink"/>
                  <w:rFonts w:ascii="Verdana" w:hAnsi="Verdana"/>
                  <w:sz w:val="22"/>
                  <w:szCs w:val="22"/>
                </w:rPr>
                <w:t>2016</w:t>
              </w:r>
            </w:hyperlink>
          </w:p>
          <w:p w14:paraId="00683BE8" w14:textId="1D91A865" w:rsidR="00FF34A6" w:rsidRPr="00FF34A6" w:rsidRDefault="00FF34A6" w:rsidP="009D07C3">
            <w:pPr>
              <w:spacing w:before="120" w:after="120"/>
              <w:rPr>
                <w:rFonts w:ascii="Verdana" w:hAnsi="Verdana"/>
                <w:sz w:val="22"/>
                <w:szCs w:val="22"/>
              </w:rPr>
            </w:pPr>
            <w:r w:rsidRPr="00FF34A6">
              <w:rPr>
                <w:rFonts w:ascii="Verdana" w:hAnsi="Verdana"/>
                <w:sz w:val="22"/>
                <w:szCs w:val="22"/>
              </w:rPr>
              <w:t>The Local Government Pension Reserve Fund (Scotland) Regulations 2003.</w:t>
            </w:r>
          </w:p>
        </w:tc>
        <w:tc>
          <w:tcPr>
            <w:tcW w:w="5098" w:type="dxa"/>
          </w:tcPr>
          <w:p w14:paraId="39CEE7F5" w14:textId="001AA5B9" w:rsidR="00FF34A6" w:rsidRPr="00FF34A6" w:rsidRDefault="00AC7258" w:rsidP="009D07C3">
            <w:pPr>
              <w:spacing w:before="120" w:after="120"/>
              <w:rPr>
                <w:rFonts w:ascii="Verdana" w:hAnsi="Verdana"/>
                <w:sz w:val="22"/>
                <w:szCs w:val="22"/>
              </w:rPr>
            </w:pPr>
            <w:r>
              <w:rPr>
                <w:rFonts w:ascii="Verdana" w:hAnsi="Verdana"/>
                <w:sz w:val="22"/>
                <w:szCs w:val="22"/>
              </w:rPr>
              <w:t>To hold statutory adjustments in respect of</w:t>
            </w:r>
            <w:r w:rsidRPr="00FF34A6">
              <w:rPr>
                <w:rFonts w:ascii="Verdana" w:hAnsi="Verdana"/>
                <w:sz w:val="22"/>
                <w:szCs w:val="22"/>
              </w:rPr>
              <w:t xml:space="preserve"> </w:t>
            </w:r>
            <w:r w:rsidR="00FF34A6" w:rsidRPr="00FF34A6">
              <w:rPr>
                <w:rFonts w:ascii="Verdana" w:hAnsi="Verdana"/>
                <w:sz w:val="22"/>
                <w:szCs w:val="22"/>
              </w:rPr>
              <w:t>remov</w:t>
            </w:r>
            <w:r w:rsidR="0040085C">
              <w:rPr>
                <w:rFonts w:ascii="Verdana" w:hAnsi="Verdana"/>
                <w:sz w:val="22"/>
                <w:szCs w:val="22"/>
              </w:rPr>
              <w:t xml:space="preserve">ing </w:t>
            </w:r>
            <w:r w:rsidR="00FF34A6" w:rsidRPr="00FF34A6">
              <w:rPr>
                <w:rFonts w:ascii="Verdana" w:hAnsi="Verdana"/>
                <w:sz w:val="22"/>
                <w:szCs w:val="22"/>
              </w:rPr>
              <w:t>the IAS 19</w:t>
            </w:r>
            <w:r w:rsidR="0040085C">
              <w:rPr>
                <w:rFonts w:ascii="Verdana" w:hAnsi="Verdana"/>
                <w:sz w:val="22"/>
                <w:szCs w:val="22"/>
              </w:rPr>
              <w:t xml:space="preserve">-based </w:t>
            </w:r>
            <w:r w:rsidR="00FF34A6" w:rsidRPr="00FF34A6">
              <w:rPr>
                <w:rFonts w:ascii="Verdana" w:hAnsi="Verdana"/>
                <w:sz w:val="22"/>
                <w:szCs w:val="22"/>
              </w:rPr>
              <w:t>pension costs from the General Fund and replac</w:t>
            </w:r>
            <w:r w:rsidR="00B858E2">
              <w:rPr>
                <w:rFonts w:ascii="Verdana" w:hAnsi="Verdana"/>
                <w:sz w:val="22"/>
                <w:szCs w:val="22"/>
              </w:rPr>
              <w:t>ing</w:t>
            </w:r>
            <w:r w:rsidR="00FF34A6" w:rsidRPr="00FF34A6">
              <w:rPr>
                <w:rFonts w:ascii="Verdana" w:hAnsi="Verdana"/>
                <w:sz w:val="22"/>
                <w:szCs w:val="22"/>
              </w:rPr>
              <w:t xml:space="preserve"> them with employer contributions.</w:t>
            </w:r>
          </w:p>
        </w:tc>
      </w:tr>
    </w:tbl>
    <w:p w14:paraId="52C9A1D5" w14:textId="77777777" w:rsidR="0005708A" w:rsidRDefault="0005708A" w:rsidP="00FF34A6">
      <w:pPr>
        <w:pStyle w:val="Title"/>
        <w:spacing w:before="240" w:after="240"/>
      </w:pPr>
      <w:r>
        <w:t>Presentation and disclosure</w:t>
      </w:r>
    </w:p>
    <w:p w14:paraId="1C5237CE" w14:textId="77777777" w:rsidR="00B24E4C" w:rsidRPr="00831652" w:rsidRDefault="00D41B93" w:rsidP="00A81074">
      <w:pPr>
        <w:pStyle w:val="Subtitle"/>
        <w:rPr>
          <w:rFonts w:ascii="Verdana" w:hAnsi="Verdana"/>
          <w:b/>
          <w:color w:val="auto"/>
          <w:sz w:val="20"/>
          <w:szCs w:val="20"/>
        </w:rPr>
      </w:pPr>
      <w:r w:rsidRPr="00831652">
        <w:rPr>
          <w:rFonts w:ascii="Verdana" w:hAnsi="Verdana"/>
          <w:b/>
          <w:color w:val="auto"/>
          <w:sz w:val="20"/>
          <w:szCs w:val="20"/>
        </w:rPr>
        <w:t>Presentation of r</w:t>
      </w:r>
      <w:r w:rsidR="00B24E4C" w:rsidRPr="00831652">
        <w:rPr>
          <w:rFonts w:ascii="Verdana" w:hAnsi="Verdana"/>
          <w:b/>
          <w:color w:val="auto"/>
          <w:sz w:val="20"/>
          <w:szCs w:val="20"/>
        </w:rPr>
        <w:t>eserves in the MiRS</w:t>
      </w:r>
    </w:p>
    <w:p w14:paraId="1933A1FF" w14:textId="77777777" w:rsidR="00B24E4C" w:rsidRDefault="00BE508C" w:rsidP="004303AD">
      <w:pPr>
        <w:pStyle w:val="ListParagraph"/>
        <w:numPr>
          <w:ilvl w:val="0"/>
          <w:numId w:val="15"/>
        </w:numPr>
        <w:spacing w:after="120"/>
      </w:pPr>
      <w:r>
        <w:t xml:space="preserve">The Code requires </w:t>
      </w:r>
      <w:r w:rsidR="00D41B93">
        <w:t xml:space="preserve">an analysis of the various </w:t>
      </w:r>
      <w:r w:rsidR="00B24E4C">
        <w:t xml:space="preserve">usable reserves </w:t>
      </w:r>
      <w:r w:rsidR="00D41B93">
        <w:t xml:space="preserve">to be presented </w:t>
      </w:r>
      <w:r w:rsidR="00B24E4C">
        <w:t xml:space="preserve">in the MiRS, </w:t>
      </w:r>
      <w:r w:rsidR="00D41B93">
        <w:t xml:space="preserve">but allows a </w:t>
      </w:r>
      <w:r w:rsidR="00B24E4C">
        <w:t xml:space="preserve">single heading to cover all the unusable reserves. </w:t>
      </w:r>
      <w:r w:rsidR="00D41B93">
        <w:t>T</w:t>
      </w:r>
      <w:r w:rsidR="00B24E4C">
        <w:t>he following table</w:t>
      </w:r>
      <w:r w:rsidR="00D41B93">
        <w:t xml:space="preserve"> illustrates the generally expected analysis of reserves and provides guidance for each</w:t>
      </w:r>
      <w:r w:rsidR="00B24E4C">
        <w:t>:</w:t>
      </w:r>
    </w:p>
    <w:tbl>
      <w:tblPr>
        <w:tblStyle w:val="TableGrid"/>
        <w:tblW w:w="0" w:type="auto"/>
        <w:tblLook w:val="0620" w:firstRow="1" w:lastRow="0" w:firstColumn="0" w:lastColumn="0" w:noHBand="1" w:noVBand="1"/>
      </w:tblPr>
      <w:tblGrid>
        <w:gridCol w:w="2078"/>
        <w:gridCol w:w="6984"/>
      </w:tblGrid>
      <w:tr w:rsidR="00B24E4C" w:rsidRPr="005D2A6E" w14:paraId="61CBF633" w14:textId="77777777" w:rsidTr="001C74D4">
        <w:tc>
          <w:tcPr>
            <w:tcW w:w="2078" w:type="dxa"/>
          </w:tcPr>
          <w:p w14:paraId="6CDA640A" w14:textId="77777777" w:rsidR="00B24E4C" w:rsidRPr="001C74D4" w:rsidRDefault="00B24E4C" w:rsidP="00B24E4C">
            <w:pPr>
              <w:pStyle w:val="21-Tabletext"/>
              <w:rPr>
                <w:rFonts w:ascii="Verdana" w:hAnsi="Verdana"/>
                <w:b/>
                <w:color w:val="auto"/>
                <w:sz w:val="22"/>
                <w:szCs w:val="22"/>
              </w:rPr>
            </w:pPr>
            <w:r w:rsidRPr="001C74D4">
              <w:rPr>
                <w:rFonts w:ascii="Verdana" w:hAnsi="Verdana"/>
                <w:b/>
                <w:color w:val="auto"/>
                <w:sz w:val="22"/>
                <w:szCs w:val="22"/>
              </w:rPr>
              <w:t>Reserves</w:t>
            </w:r>
          </w:p>
        </w:tc>
        <w:tc>
          <w:tcPr>
            <w:tcW w:w="6984" w:type="dxa"/>
          </w:tcPr>
          <w:p w14:paraId="113CBA83" w14:textId="77777777" w:rsidR="00B24E4C" w:rsidRPr="001C74D4" w:rsidRDefault="00D41B93" w:rsidP="00B24E4C">
            <w:pPr>
              <w:pStyle w:val="21-Tabletext"/>
              <w:rPr>
                <w:rFonts w:ascii="Verdana" w:hAnsi="Verdana"/>
                <w:b/>
                <w:color w:val="auto"/>
                <w:sz w:val="22"/>
                <w:szCs w:val="22"/>
              </w:rPr>
            </w:pPr>
            <w:r w:rsidRPr="001C74D4">
              <w:rPr>
                <w:rFonts w:ascii="Verdana" w:hAnsi="Verdana"/>
                <w:b/>
                <w:color w:val="auto"/>
                <w:sz w:val="22"/>
                <w:szCs w:val="22"/>
              </w:rPr>
              <w:t>Guidance</w:t>
            </w:r>
          </w:p>
        </w:tc>
      </w:tr>
      <w:tr w:rsidR="00B24E4C" w:rsidRPr="005D2A6E" w14:paraId="64E84FE4" w14:textId="77777777" w:rsidTr="001C74D4">
        <w:trPr>
          <w:trHeight w:val="442"/>
        </w:trPr>
        <w:tc>
          <w:tcPr>
            <w:tcW w:w="2078" w:type="dxa"/>
          </w:tcPr>
          <w:p w14:paraId="68B0EEB9" w14:textId="77777777" w:rsidR="00B24E4C" w:rsidRPr="00D41B93" w:rsidRDefault="00B24E4C" w:rsidP="00D41B93">
            <w:pPr>
              <w:pStyle w:val="21-Tabletext"/>
              <w:rPr>
                <w:rFonts w:ascii="Verdana" w:hAnsi="Verdana"/>
                <w:color w:val="auto"/>
                <w:sz w:val="22"/>
                <w:szCs w:val="22"/>
              </w:rPr>
            </w:pPr>
            <w:r w:rsidRPr="00D41B93">
              <w:rPr>
                <w:rFonts w:ascii="Verdana" w:hAnsi="Verdana"/>
                <w:color w:val="auto"/>
                <w:sz w:val="22"/>
                <w:szCs w:val="22"/>
              </w:rPr>
              <w:t>General Fund</w:t>
            </w:r>
          </w:p>
        </w:tc>
        <w:tc>
          <w:tcPr>
            <w:tcW w:w="6984" w:type="dxa"/>
          </w:tcPr>
          <w:p w14:paraId="66C31422" w14:textId="33E005A9" w:rsidR="00B24E4C" w:rsidRPr="00D41B93" w:rsidRDefault="009D5449" w:rsidP="00BE5517">
            <w:pPr>
              <w:pStyle w:val="21-Tabletext"/>
              <w:rPr>
                <w:rFonts w:ascii="Verdana" w:hAnsi="Verdana"/>
                <w:color w:val="auto"/>
                <w:sz w:val="22"/>
                <w:szCs w:val="22"/>
              </w:rPr>
            </w:pPr>
            <w:r>
              <w:rPr>
                <w:rFonts w:ascii="Verdana" w:hAnsi="Verdana"/>
                <w:color w:val="auto"/>
                <w:sz w:val="22"/>
                <w:szCs w:val="22"/>
              </w:rPr>
              <w:t>T</w:t>
            </w:r>
            <w:r w:rsidR="009D7B5C">
              <w:rPr>
                <w:rFonts w:ascii="Verdana" w:hAnsi="Verdana"/>
                <w:color w:val="auto"/>
                <w:sz w:val="22"/>
                <w:szCs w:val="22"/>
              </w:rPr>
              <w:t>h</w:t>
            </w:r>
            <w:r>
              <w:rPr>
                <w:rFonts w:ascii="Verdana" w:hAnsi="Verdana"/>
                <w:color w:val="auto"/>
                <w:sz w:val="22"/>
                <w:szCs w:val="22"/>
              </w:rPr>
              <w:t xml:space="preserve">is guidance </w:t>
            </w:r>
            <w:r w:rsidR="009D7B5C">
              <w:rPr>
                <w:rFonts w:ascii="Verdana" w:hAnsi="Verdana"/>
                <w:color w:val="auto"/>
                <w:sz w:val="22"/>
                <w:szCs w:val="22"/>
              </w:rPr>
              <w:t>prohibits e</w:t>
            </w:r>
            <w:r w:rsidR="00B24E4C" w:rsidRPr="00D41B93">
              <w:rPr>
                <w:rFonts w:ascii="Verdana" w:hAnsi="Verdana"/>
                <w:color w:val="auto"/>
                <w:sz w:val="22"/>
                <w:szCs w:val="22"/>
              </w:rPr>
              <w:t>armarked p</w:t>
            </w:r>
            <w:r w:rsidR="009D7B5C">
              <w:rPr>
                <w:rFonts w:ascii="Verdana" w:hAnsi="Verdana"/>
                <w:color w:val="auto"/>
                <w:sz w:val="22"/>
                <w:szCs w:val="22"/>
              </w:rPr>
              <w:t xml:space="preserve">arts </w:t>
            </w:r>
            <w:r w:rsidR="00D41B93" w:rsidRPr="00D41B93">
              <w:rPr>
                <w:rFonts w:ascii="Verdana" w:hAnsi="Verdana"/>
                <w:color w:val="auto"/>
                <w:sz w:val="22"/>
                <w:szCs w:val="22"/>
              </w:rPr>
              <w:t>be</w:t>
            </w:r>
            <w:r w:rsidR="009D7B5C">
              <w:rPr>
                <w:rFonts w:ascii="Verdana" w:hAnsi="Verdana"/>
                <w:color w:val="auto"/>
                <w:sz w:val="22"/>
                <w:szCs w:val="22"/>
              </w:rPr>
              <w:t>ing</w:t>
            </w:r>
            <w:r w:rsidR="00D41B93" w:rsidRPr="00D41B93">
              <w:rPr>
                <w:rFonts w:ascii="Verdana" w:hAnsi="Verdana"/>
                <w:color w:val="auto"/>
                <w:sz w:val="22"/>
                <w:szCs w:val="22"/>
              </w:rPr>
              <w:t xml:space="preserve"> </w:t>
            </w:r>
            <w:r w:rsidR="00B24E4C" w:rsidRPr="00D41B93">
              <w:rPr>
                <w:rFonts w:ascii="Verdana" w:hAnsi="Verdana"/>
                <w:color w:val="auto"/>
                <w:sz w:val="22"/>
                <w:szCs w:val="22"/>
              </w:rPr>
              <w:t xml:space="preserve">presented separately in the MiRS (but </w:t>
            </w:r>
            <w:r w:rsidR="009D7B5C">
              <w:rPr>
                <w:rFonts w:ascii="Verdana" w:hAnsi="Verdana"/>
                <w:color w:val="auto"/>
                <w:sz w:val="22"/>
                <w:szCs w:val="22"/>
              </w:rPr>
              <w:t xml:space="preserve">requires them to </w:t>
            </w:r>
            <w:r w:rsidR="00B24E4C" w:rsidRPr="00D41B93">
              <w:rPr>
                <w:rFonts w:ascii="Verdana" w:hAnsi="Verdana"/>
                <w:color w:val="auto"/>
                <w:sz w:val="22"/>
                <w:szCs w:val="22"/>
              </w:rPr>
              <w:t>be disclosed in the notes</w:t>
            </w:r>
            <w:r w:rsidR="00D41B93" w:rsidRPr="00D41B93">
              <w:rPr>
                <w:rFonts w:ascii="Verdana" w:hAnsi="Verdana"/>
                <w:color w:val="auto"/>
                <w:sz w:val="22"/>
                <w:szCs w:val="22"/>
              </w:rPr>
              <w:t xml:space="preserve"> – </w:t>
            </w:r>
            <w:r w:rsidR="00BE5517">
              <w:rPr>
                <w:rFonts w:ascii="Verdana" w:hAnsi="Verdana"/>
                <w:color w:val="auto"/>
                <w:sz w:val="22"/>
                <w:szCs w:val="22"/>
              </w:rPr>
              <w:t>see above</w:t>
            </w:r>
            <w:r w:rsidR="00B24E4C" w:rsidRPr="00D41B93">
              <w:rPr>
                <w:rFonts w:ascii="Verdana" w:hAnsi="Verdana"/>
                <w:color w:val="auto"/>
                <w:sz w:val="22"/>
                <w:szCs w:val="22"/>
              </w:rPr>
              <w:t>).</w:t>
            </w:r>
          </w:p>
        </w:tc>
      </w:tr>
      <w:tr w:rsidR="00B24E4C" w:rsidRPr="005D2A6E" w14:paraId="1AAF081C" w14:textId="77777777" w:rsidTr="001C74D4">
        <w:trPr>
          <w:trHeight w:val="442"/>
        </w:trPr>
        <w:tc>
          <w:tcPr>
            <w:tcW w:w="2078" w:type="dxa"/>
          </w:tcPr>
          <w:p w14:paraId="3F4DBB1D" w14:textId="77777777" w:rsidR="00B24E4C" w:rsidRPr="00D41B93" w:rsidRDefault="00B24E4C" w:rsidP="00D41B93">
            <w:pPr>
              <w:pStyle w:val="21-Tabletext"/>
              <w:rPr>
                <w:rFonts w:ascii="Verdana" w:hAnsi="Verdana"/>
                <w:color w:val="auto"/>
                <w:sz w:val="22"/>
                <w:szCs w:val="22"/>
              </w:rPr>
            </w:pPr>
            <w:r w:rsidRPr="00D41B93">
              <w:rPr>
                <w:rFonts w:ascii="Verdana" w:hAnsi="Verdana"/>
                <w:color w:val="auto"/>
                <w:sz w:val="22"/>
                <w:szCs w:val="22"/>
              </w:rPr>
              <w:t>HRA balance</w:t>
            </w:r>
          </w:p>
        </w:tc>
        <w:tc>
          <w:tcPr>
            <w:tcW w:w="6984" w:type="dxa"/>
          </w:tcPr>
          <w:p w14:paraId="241026D9" w14:textId="7D67C7C2" w:rsidR="00B24E4C" w:rsidRPr="00D41B93" w:rsidRDefault="00D41B93" w:rsidP="00BE5517">
            <w:pPr>
              <w:pStyle w:val="21-Tabletext"/>
              <w:rPr>
                <w:rFonts w:ascii="Verdana" w:hAnsi="Verdana"/>
                <w:color w:val="auto"/>
                <w:sz w:val="22"/>
                <w:szCs w:val="22"/>
              </w:rPr>
            </w:pPr>
            <w:r w:rsidRPr="00D41B93">
              <w:rPr>
                <w:rFonts w:ascii="Verdana" w:hAnsi="Verdana"/>
                <w:color w:val="auto"/>
                <w:sz w:val="22"/>
                <w:szCs w:val="22"/>
              </w:rPr>
              <w:t xml:space="preserve">The HRA balance is an exception to the above rule and (as explained </w:t>
            </w:r>
            <w:r w:rsidR="00BE5517">
              <w:rPr>
                <w:rFonts w:ascii="Verdana" w:hAnsi="Verdana"/>
                <w:color w:val="auto"/>
                <w:sz w:val="22"/>
                <w:szCs w:val="22"/>
              </w:rPr>
              <w:t>above</w:t>
            </w:r>
            <w:r w:rsidRPr="00D41B93">
              <w:rPr>
                <w:rFonts w:ascii="Verdana" w:hAnsi="Verdana"/>
                <w:color w:val="auto"/>
                <w:sz w:val="22"/>
                <w:szCs w:val="22"/>
              </w:rPr>
              <w:t xml:space="preserve">) </w:t>
            </w:r>
            <w:r w:rsidR="00B24E4C" w:rsidRPr="00D41B93">
              <w:rPr>
                <w:rFonts w:ascii="Verdana" w:hAnsi="Verdana"/>
                <w:color w:val="auto"/>
                <w:sz w:val="22"/>
                <w:szCs w:val="22"/>
              </w:rPr>
              <w:t>should be presented separately</w:t>
            </w:r>
            <w:r w:rsidR="00A06A76">
              <w:rPr>
                <w:rFonts w:ascii="Verdana" w:hAnsi="Verdana"/>
                <w:color w:val="auto"/>
                <w:sz w:val="22"/>
                <w:szCs w:val="22"/>
              </w:rPr>
              <w:t xml:space="preserve"> in the MiRS</w:t>
            </w:r>
            <w:r w:rsidR="00B24E4C" w:rsidRPr="00D41B93">
              <w:rPr>
                <w:rFonts w:ascii="Verdana" w:hAnsi="Verdana"/>
                <w:color w:val="auto"/>
                <w:sz w:val="22"/>
                <w:szCs w:val="22"/>
              </w:rPr>
              <w:t>.</w:t>
            </w:r>
          </w:p>
        </w:tc>
      </w:tr>
      <w:tr w:rsidR="00B24E4C" w:rsidRPr="005D2A6E" w14:paraId="4ECA9802" w14:textId="77777777" w:rsidTr="001C74D4">
        <w:trPr>
          <w:trHeight w:val="442"/>
        </w:trPr>
        <w:tc>
          <w:tcPr>
            <w:tcW w:w="2078" w:type="dxa"/>
          </w:tcPr>
          <w:p w14:paraId="47D6D344" w14:textId="77777777" w:rsidR="00B24E4C" w:rsidRPr="00D41B93" w:rsidRDefault="00B24E4C" w:rsidP="00D41B93">
            <w:pPr>
              <w:pStyle w:val="21-Tabletext"/>
              <w:rPr>
                <w:rFonts w:ascii="Verdana" w:hAnsi="Verdana"/>
                <w:color w:val="auto"/>
                <w:sz w:val="22"/>
                <w:szCs w:val="22"/>
              </w:rPr>
            </w:pPr>
            <w:r w:rsidRPr="00D41B93">
              <w:rPr>
                <w:rFonts w:ascii="Verdana" w:hAnsi="Verdana"/>
                <w:color w:val="auto"/>
                <w:sz w:val="22"/>
                <w:szCs w:val="22"/>
              </w:rPr>
              <w:t>Renewal and Repair Fund</w:t>
            </w:r>
          </w:p>
        </w:tc>
        <w:tc>
          <w:tcPr>
            <w:tcW w:w="6984" w:type="dxa"/>
          </w:tcPr>
          <w:p w14:paraId="1773C148" w14:textId="1A9736F9" w:rsidR="00B24E4C" w:rsidRPr="00D41B93" w:rsidRDefault="00B24E4C" w:rsidP="00D41B93">
            <w:pPr>
              <w:pStyle w:val="21-Tabletext"/>
              <w:rPr>
                <w:rFonts w:ascii="Verdana" w:hAnsi="Verdana"/>
                <w:color w:val="auto"/>
                <w:sz w:val="22"/>
                <w:szCs w:val="22"/>
              </w:rPr>
            </w:pPr>
            <w:r w:rsidRPr="00D41B93">
              <w:rPr>
                <w:rFonts w:ascii="Verdana" w:hAnsi="Verdana"/>
                <w:color w:val="auto"/>
                <w:sz w:val="22"/>
                <w:szCs w:val="22"/>
              </w:rPr>
              <w:t xml:space="preserve">The statutory power for a Renewal and Repair Fund refers to a single fund. </w:t>
            </w:r>
            <w:r w:rsidR="00E83493">
              <w:rPr>
                <w:rFonts w:ascii="Verdana" w:hAnsi="Verdana"/>
                <w:color w:val="auto"/>
                <w:sz w:val="22"/>
                <w:szCs w:val="22"/>
              </w:rPr>
              <w:t>This guidance permits o</w:t>
            </w:r>
            <w:r w:rsidRPr="00D41B93">
              <w:rPr>
                <w:rFonts w:ascii="Verdana" w:hAnsi="Verdana"/>
                <w:color w:val="auto"/>
                <w:sz w:val="22"/>
                <w:szCs w:val="22"/>
              </w:rPr>
              <w:t xml:space="preserve">nly one such fund </w:t>
            </w:r>
            <w:r w:rsidR="00E83493">
              <w:rPr>
                <w:rFonts w:ascii="Verdana" w:hAnsi="Verdana"/>
                <w:color w:val="auto"/>
                <w:sz w:val="22"/>
                <w:szCs w:val="22"/>
              </w:rPr>
              <w:t>to</w:t>
            </w:r>
            <w:r w:rsidRPr="00D41B93">
              <w:rPr>
                <w:rFonts w:ascii="Verdana" w:hAnsi="Verdana"/>
                <w:color w:val="auto"/>
                <w:sz w:val="22"/>
                <w:szCs w:val="22"/>
              </w:rPr>
              <w:t xml:space="preserve"> be disclosed on the face of the MiRS, and </w:t>
            </w:r>
            <w:r w:rsidR="00E83493">
              <w:rPr>
                <w:rFonts w:ascii="Verdana" w:hAnsi="Verdana"/>
                <w:color w:val="auto"/>
                <w:sz w:val="22"/>
                <w:szCs w:val="22"/>
              </w:rPr>
              <w:t xml:space="preserve">requires </w:t>
            </w:r>
            <w:r w:rsidRPr="00D41B93">
              <w:rPr>
                <w:rFonts w:ascii="Verdana" w:hAnsi="Verdana"/>
                <w:color w:val="auto"/>
                <w:sz w:val="22"/>
                <w:szCs w:val="22"/>
              </w:rPr>
              <w:t xml:space="preserve">the extent of </w:t>
            </w:r>
            <w:r w:rsidR="00E83493">
              <w:rPr>
                <w:rFonts w:ascii="Verdana" w:hAnsi="Verdana"/>
                <w:color w:val="auto"/>
                <w:sz w:val="22"/>
                <w:szCs w:val="22"/>
              </w:rPr>
              <w:t xml:space="preserve">any </w:t>
            </w:r>
            <w:r w:rsidRPr="00D41B93">
              <w:rPr>
                <w:rFonts w:ascii="Verdana" w:hAnsi="Verdana"/>
                <w:color w:val="auto"/>
                <w:sz w:val="22"/>
                <w:szCs w:val="22"/>
              </w:rPr>
              <w:t xml:space="preserve">earmarking </w:t>
            </w:r>
            <w:r w:rsidR="00E83493">
              <w:rPr>
                <w:rFonts w:ascii="Verdana" w:hAnsi="Verdana"/>
                <w:color w:val="auto"/>
                <w:sz w:val="22"/>
                <w:szCs w:val="22"/>
              </w:rPr>
              <w:t>to</w:t>
            </w:r>
            <w:r w:rsidRPr="00D41B93">
              <w:rPr>
                <w:rFonts w:ascii="Verdana" w:hAnsi="Verdana"/>
                <w:color w:val="auto"/>
                <w:sz w:val="22"/>
                <w:szCs w:val="22"/>
              </w:rPr>
              <w:t xml:space="preserve"> be disclosed in a note.</w:t>
            </w:r>
          </w:p>
        </w:tc>
      </w:tr>
      <w:tr w:rsidR="00B24E4C" w:rsidRPr="005D2A6E" w14:paraId="4107D9AB" w14:textId="77777777" w:rsidTr="001C74D4">
        <w:trPr>
          <w:trHeight w:val="442"/>
        </w:trPr>
        <w:tc>
          <w:tcPr>
            <w:tcW w:w="2078" w:type="dxa"/>
          </w:tcPr>
          <w:p w14:paraId="4D366F0D" w14:textId="77777777" w:rsidR="00B24E4C" w:rsidRPr="00D41B93" w:rsidRDefault="00B24E4C" w:rsidP="00D41B93">
            <w:pPr>
              <w:pStyle w:val="21-Tabletext"/>
              <w:rPr>
                <w:rFonts w:ascii="Verdana" w:hAnsi="Verdana"/>
                <w:color w:val="auto"/>
                <w:sz w:val="22"/>
                <w:szCs w:val="22"/>
              </w:rPr>
            </w:pPr>
            <w:r w:rsidRPr="00D41B93">
              <w:rPr>
                <w:rFonts w:ascii="Verdana" w:hAnsi="Verdana"/>
                <w:color w:val="auto"/>
                <w:sz w:val="22"/>
                <w:szCs w:val="22"/>
              </w:rPr>
              <w:t>Capital Fund</w:t>
            </w:r>
          </w:p>
        </w:tc>
        <w:tc>
          <w:tcPr>
            <w:tcW w:w="6984" w:type="dxa"/>
          </w:tcPr>
          <w:p w14:paraId="3C4F15E5" w14:textId="1724779D" w:rsidR="00B24E4C" w:rsidRPr="00D41B93" w:rsidRDefault="006F2008" w:rsidP="00D41B93">
            <w:pPr>
              <w:pStyle w:val="21-Tabletext"/>
              <w:rPr>
                <w:rFonts w:ascii="Verdana" w:hAnsi="Verdana"/>
                <w:color w:val="auto"/>
                <w:sz w:val="22"/>
                <w:szCs w:val="22"/>
              </w:rPr>
            </w:pPr>
            <w:r w:rsidRPr="006F2008">
              <w:rPr>
                <w:rFonts w:ascii="Verdana" w:hAnsi="Verdana"/>
                <w:color w:val="auto"/>
                <w:sz w:val="22"/>
                <w:szCs w:val="22"/>
              </w:rPr>
              <w:t xml:space="preserve">This guidance permits </w:t>
            </w:r>
            <w:r>
              <w:rPr>
                <w:rFonts w:ascii="Verdana" w:hAnsi="Verdana"/>
                <w:color w:val="auto"/>
                <w:sz w:val="22"/>
                <w:szCs w:val="22"/>
              </w:rPr>
              <w:t>o</w:t>
            </w:r>
            <w:r w:rsidR="00B24E4C" w:rsidRPr="00D41B93">
              <w:rPr>
                <w:rFonts w:ascii="Verdana" w:hAnsi="Verdana"/>
                <w:color w:val="auto"/>
                <w:sz w:val="22"/>
                <w:szCs w:val="22"/>
              </w:rPr>
              <w:t xml:space="preserve">nly one Capital Fund </w:t>
            </w:r>
            <w:r>
              <w:rPr>
                <w:rFonts w:ascii="Verdana" w:hAnsi="Verdana"/>
                <w:color w:val="auto"/>
                <w:sz w:val="22"/>
                <w:szCs w:val="22"/>
              </w:rPr>
              <w:t>to be presented</w:t>
            </w:r>
            <w:r w:rsidR="00B24E4C" w:rsidRPr="00D41B93">
              <w:rPr>
                <w:rFonts w:ascii="Verdana" w:hAnsi="Verdana"/>
                <w:color w:val="auto"/>
                <w:sz w:val="22"/>
                <w:szCs w:val="22"/>
              </w:rPr>
              <w:t xml:space="preserve"> on the face of the MiRS.</w:t>
            </w:r>
          </w:p>
        </w:tc>
      </w:tr>
      <w:tr w:rsidR="00B24E4C" w:rsidRPr="005D2A6E" w14:paraId="15937CAA" w14:textId="77777777" w:rsidTr="001C74D4">
        <w:trPr>
          <w:trHeight w:val="442"/>
        </w:trPr>
        <w:tc>
          <w:tcPr>
            <w:tcW w:w="2078" w:type="dxa"/>
          </w:tcPr>
          <w:p w14:paraId="6536490A" w14:textId="77777777" w:rsidR="00B24E4C" w:rsidRPr="00D41B93" w:rsidRDefault="00B24E4C" w:rsidP="00D41B93">
            <w:pPr>
              <w:pStyle w:val="21-Tabletext"/>
              <w:rPr>
                <w:rFonts w:ascii="Verdana" w:hAnsi="Verdana"/>
                <w:color w:val="auto"/>
                <w:sz w:val="22"/>
                <w:szCs w:val="22"/>
              </w:rPr>
            </w:pPr>
            <w:r w:rsidRPr="00D41B93">
              <w:rPr>
                <w:rFonts w:ascii="Verdana" w:hAnsi="Verdana"/>
                <w:color w:val="auto"/>
                <w:sz w:val="22"/>
                <w:szCs w:val="22"/>
              </w:rPr>
              <w:t>Insurance Fund</w:t>
            </w:r>
          </w:p>
        </w:tc>
        <w:tc>
          <w:tcPr>
            <w:tcW w:w="6984" w:type="dxa"/>
          </w:tcPr>
          <w:p w14:paraId="6E9CEF41" w14:textId="736A7B2B" w:rsidR="00B24E4C" w:rsidRPr="00D41B93" w:rsidRDefault="006F2008" w:rsidP="00D41B93">
            <w:pPr>
              <w:pStyle w:val="21-Tabletext"/>
              <w:rPr>
                <w:rFonts w:ascii="Verdana" w:hAnsi="Verdana"/>
                <w:color w:val="auto"/>
                <w:sz w:val="22"/>
                <w:szCs w:val="22"/>
              </w:rPr>
            </w:pPr>
            <w:r w:rsidRPr="006F2008">
              <w:rPr>
                <w:rFonts w:ascii="Verdana" w:hAnsi="Verdana"/>
                <w:color w:val="auto"/>
                <w:sz w:val="22"/>
                <w:szCs w:val="22"/>
              </w:rPr>
              <w:t xml:space="preserve">This guidance permits only one </w:t>
            </w:r>
            <w:r w:rsidR="00B24E4C" w:rsidRPr="00D41B93">
              <w:rPr>
                <w:rFonts w:ascii="Verdana" w:hAnsi="Verdana"/>
                <w:color w:val="auto"/>
                <w:sz w:val="22"/>
                <w:szCs w:val="22"/>
              </w:rPr>
              <w:t xml:space="preserve">Insurance Fund </w:t>
            </w:r>
            <w:r>
              <w:rPr>
                <w:rFonts w:ascii="Verdana" w:hAnsi="Verdana"/>
                <w:color w:val="auto"/>
                <w:sz w:val="22"/>
                <w:szCs w:val="22"/>
              </w:rPr>
              <w:t>to be presented</w:t>
            </w:r>
            <w:r w:rsidR="00B24E4C" w:rsidRPr="00D41B93">
              <w:rPr>
                <w:rFonts w:ascii="Verdana" w:hAnsi="Verdana"/>
                <w:color w:val="auto"/>
                <w:sz w:val="22"/>
                <w:szCs w:val="22"/>
              </w:rPr>
              <w:t xml:space="preserve"> on the face of the MiRS.</w:t>
            </w:r>
          </w:p>
        </w:tc>
      </w:tr>
      <w:tr w:rsidR="00B24E4C" w:rsidRPr="005D2A6E" w14:paraId="18D1E4EC" w14:textId="77777777" w:rsidTr="001C74D4">
        <w:trPr>
          <w:trHeight w:val="442"/>
        </w:trPr>
        <w:tc>
          <w:tcPr>
            <w:tcW w:w="2078" w:type="dxa"/>
          </w:tcPr>
          <w:p w14:paraId="56223689" w14:textId="77777777" w:rsidR="00B24E4C" w:rsidRPr="00D41B93" w:rsidRDefault="00B24E4C" w:rsidP="00D41B93">
            <w:pPr>
              <w:pStyle w:val="21-Tabletext"/>
              <w:rPr>
                <w:rFonts w:ascii="Verdana" w:hAnsi="Verdana"/>
                <w:color w:val="auto"/>
                <w:sz w:val="22"/>
                <w:szCs w:val="22"/>
              </w:rPr>
            </w:pPr>
            <w:r w:rsidRPr="00D41B93">
              <w:rPr>
                <w:rFonts w:ascii="Verdana" w:hAnsi="Verdana"/>
                <w:color w:val="auto"/>
                <w:sz w:val="22"/>
                <w:szCs w:val="22"/>
              </w:rPr>
              <w:lastRenderedPageBreak/>
              <w:t>Capital Grants (and Receipts) Unapplied Account</w:t>
            </w:r>
          </w:p>
        </w:tc>
        <w:tc>
          <w:tcPr>
            <w:tcW w:w="6984" w:type="dxa"/>
          </w:tcPr>
          <w:p w14:paraId="7993091F" w14:textId="28E9ABF7" w:rsidR="00B24E4C" w:rsidRPr="00D41B93" w:rsidRDefault="00B24E4C" w:rsidP="00D41B93">
            <w:pPr>
              <w:pStyle w:val="21-Tabletext"/>
              <w:rPr>
                <w:rFonts w:ascii="Verdana" w:hAnsi="Verdana"/>
                <w:color w:val="auto"/>
                <w:sz w:val="22"/>
                <w:szCs w:val="22"/>
              </w:rPr>
            </w:pPr>
            <w:r w:rsidRPr="00D41B93">
              <w:rPr>
                <w:rFonts w:ascii="Verdana" w:hAnsi="Verdana"/>
                <w:color w:val="auto"/>
                <w:sz w:val="22"/>
                <w:szCs w:val="22"/>
              </w:rPr>
              <w:t xml:space="preserve">This account </w:t>
            </w:r>
            <w:r w:rsidR="003401CC">
              <w:rPr>
                <w:rFonts w:ascii="Verdana" w:hAnsi="Verdana"/>
                <w:color w:val="auto"/>
                <w:sz w:val="22"/>
                <w:szCs w:val="22"/>
              </w:rPr>
              <w:t>should be</w:t>
            </w:r>
            <w:r w:rsidRPr="00D41B93">
              <w:rPr>
                <w:rFonts w:ascii="Verdana" w:hAnsi="Verdana"/>
                <w:color w:val="auto"/>
                <w:sz w:val="22"/>
                <w:szCs w:val="22"/>
              </w:rPr>
              <w:t xml:space="preserve"> treated as a usable reserve.</w:t>
            </w:r>
          </w:p>
        </w:tc>
      </w:tr>
      <w:tr w:rsidR="00B24E4C" w:rsidRPr="005D2A6E" w14:paraId="1FC002D0" w14:textId="77777777" w:rsidTr="001C74D4">
        <w:trPr>
          <w:trHeight w:val="442"/>
        </w:trPr>
        <w:tc>
          <w:tcPr>
            <w:tcW w:w="2078" w:type="dxa"/>
          </w:tcPr>
          <w:p w14:paraId="4747F28C" w14:textId="77777777" w:rsidR="00B24E4C" w:rsidRPr="00D41B93" w:rsidRDefault="00B24E4C" w:rsidP="00D41B93">
            <w:pPr>
              <w:pStyle w:val="21-Tabletext"/>
              <w:rPr>
                <w:rFonts w:ascii="Verdana" w:hAnsi="Verdana"/>
                <w:color w:val="auto"/>
                <w:sz w:val="22"/>
                <w:szCs w:val="22"/>
              </w:rPr>
            </w:pPr>
            <w:r w:rsidRPr="00D41B93">
              <w:rPr>
                <w:rFonts w:ascii="Verdana" w:hAnsi="Verdana"/>
                <w:color w:val="auto"/>
                <w:sz w:val="22"/>
                <w:szCs w:val="22"/>
              </w:rPr>
              <w:t>Total usable reserves</w:t>
            </w:r>
          </w:p>
        </w:tc>
        <w:tc>
          <w:tcPr>
            <w:tcW w:w="6984" w:type="dxa"/>
          </w:tcPr>
          <w:p w14:paraId="2E30C345" w14:textId="77777777" w:rsidR="00B24E4C" w:rsidRPr="00D41B93" w:rsidRDefault="00B24E4C" w:rsidP="00D41B93">
            <w:pPr>
              <w:pStyle w:val="21-Tabletext"/>
              <w:rPr>
                <w:rFonts w:ascii="Verdana" w:hAnsi="Verdana"/>
                <w:color w:val="auto"/>
                <w:sz w:val="22"/>
                <w:szCs w:val="22"/>
              </w:rPr>
            </w:pPr>
            <w:r w:rsidRPr="00D41B93">
              <w:rPr>
                <w:rFonts w:ascii="Verdana" w:hAnsi="Verdana"/>
                <w:color w:val="auto"/>
                <w:sz w:val="22"/>
                <w:szCs w:val="22"/>
              </w:rPr>
              <w:t>This line should show the total for all usable reserves.</w:t>
            </w:r>
          </w:p>
        </w:tc>
      </w:tr>
      <w:tr w:rsidR="00B24E4C" w:rsidRPr="005D2A6E" w14:paraId="7F0D5557" w14:textId="77777777" w:rsidTr="001C74D4">
        <w:trPr>
          <w:trHeight w:val="442"/>
        </w:trPr>
        <w:tc>
          <w:tcPr>
            <w:tcW w:w="2078" w:type="dxa"/>
          </w:tcPr>
          <w:p w14:paraId="2438A9C0" w14:textId="77777777" w:rsidR="00B24E4C" w:rsidRPr="00D41B93" w:rsidRDefault="00B24E4C" w:rsidP="00D41B93">
            <w:pPr>
              <w:pStyle w:val="21-Tabletext"/>
              <w:rPr>
                <w:rFonts w:ascii="Verdana" w:hAnsi="Verdana"/>
                <w:color w:val="auto"/>
                <w:sz w:val="22"/>
                <w:szCs w:val="22"/>
              </w:rPr>
            </w:pPr>
            <w:r w:rsidRPr="00D41B93">
              <w:rPr>
                <w:rFonts w:ascii="Verdana" w:hAnsi="Verdana"/>
                <w:color w:val="auto"/>
                <w:sz w:val="22"/>
                <w:szCs w:val="22"/>
              </w:rPr>
              <w:t>Unusable reserves</w:t>
            </w:r>
          </w:p>
        </w:tc>
        <w:tc>
          <w:tcPr>
            <w:tcW w:w="6984" w:type="dxa"/>
          </w:tcPr>
          <w:p w14:paraId="2CD4E977" w14:textId="218D60D6" w:rsidR="00B24E4C" w:rsidRPr="00D41B93" w:rsidRDefault="00B24E4C" w:rsidP="00D41B93">
            <w:pPr>
              <w:pStyle w:val="21-Tabletext"/>
              <w:rPr>
                <w:rFonts w:ascii="Verdana" w:hAnsi="Verdana"/>
                <w:color w:val="auto"/>
                <w:sz w:val="22"/>
                <w:szCs w:val="22"/>
              </w:rPr>
            </w:pPr>
            <w:r w:rsidRPr="00D41B93">
              <w:rPr>
                <w:rFonts w:ascii="Verdana" w:hAnsi="Verdana"/>
                <w:color w:val="auto"/>
                <w:sz w:val="22"/>
                <w:szCs w:val="22"/>
              </w:rPr>
              <w:t xml:space="preserve">Unusable reserves hold unrealised gains and losses or adjustments included in the MiRS line for the differences between the accounting basis and funding basis. </w:t>
            </w:r>
            <w:r w:rsidR="003401CC">
              <w:rPr>
                <w:rFonts w:ascii="Verdana" w:hAnsi="Verdana"/>
                <w:color w:val="auto"/>
                <w:sz w:val="22"/>
                <w:szCs w:val="22"/>
              </w:rPr>
              <w:t>Local authorities should</w:t>
            </w:r>
            <w:r w:rsidRPr="00D41B93">
              <w:rPr>
                <w:rFonts w:ascii="Verdana" w:hAnsi="Verdana"/>
                <w:color w:val="auto"/>
                <w:sz w:val="22"/>
                <w:szCs w:val="22"/>
              </w:rPr>
              <w:t xml:space="preserve"> present all unusable reserves in one line</w:t>
            </w:r>
            <w:r w:rsidR="003401CC">
              <w:rPr>
                <w:rFonts w:ascii="Verdana" w:hAnsi="Verdana"/>
                <w:color w:val="auto"/>
                <w:sz w:val="22"/>
                <w:szCs w:val="22"/>
              </w:rPr>
              <w:t xml:space="preserve"> in the MIRs</w:t>
            </w:r>
            <w:r w:rsidR="00EC1972">
              <w:rPr>
                <w:rFonts w:ascii="Verdana" w:hAnsi="Verdana"/>
                <w:color w:val="auto"/>
                <w:sz w:val="22"/>
                <w:szCs w:val="22"/>
              </w:rPr>
              <w:t xml:space="preserve"> (though may disclose an analysis in the notes).</w:t>
            </w:r>
          </w:p>
        </w:tc>
      </w:tr>
      <w:tr w:rsidR="00B24E4C" w:rsidRPr="005D2A6E" w14:paraId="16082346" w14:textId="77777777" w:rsidTr="001C74D4">
        <w:trPr>
          <w:trHeight w:val="442"/>
        </w:trPr>
        <w:tc>
          <w:tcPr>
            <w:tcW w:w="2078" w:type="dxa"/>
          </w:tcPr>
          <w:p w14:paraId="3D8FE603" w14:textId="77777777" w:rsidR="00B24E4C" w:rsidRPr="00D41B93" w:rsidRDefault="00B24E4C" w:rsidP="00D41B93">
            <w:pPr>
              <w:pStyle w:val="21-Tabletext"/>
              <w:rPr>
                <w:rFonts w:ascii="Verdana" w:hAnsi="Verdana"/>
                <w:color w:val="auto"/>
                <w:sz w:val="22"/>
                <w:szCs w:val="22"/>
              </w:rPr>
            </w:pPr>
            <w:r w:rsidRPr="00D41B93">
              <w:rPr>
                <w:rFonts w:ascii="Verdana" w:hAnsi="Verdana"/>
                <w:color w:val="auto"/>
                <w:sz w:val="22"/>
                <w:szCs w:val="22"/>
              </w:rPr>
              <w:t>Total reserves of the body</w:t>
            </w:r>
          </w:p>
        </w:tc>
        <w:tc>
          <w:tcPr>
            <w:tcW w:w="6984" w:type="dxa"/>
          </w:tcPr>
          <w:p w14:paraId="5477E139" w14:textId="77777777" w:rsidR="00B24E4C" w:rsidRPr="00D41B93" w:rsidRDefault="00B24E4C" w:rsidP="00D41B93">
            <w:pPr>
              <w:pStyle w:val="21-Tabletext"/>
              <w:rPr>
                <w:rFonts w:ascii="Verdana" w:hAnsi="Verdana"/>
                <w:color w:val="auto"/>
                <w:sz w:val="22"/>
                <w:szCs w:val="22"/>
              </w:rPr>
            </w:pPr>
            <w:r w:rsidRPr="00D41B93">
              <w:rPr>
                <w:rFonts w:ascii="Verdana" w:hAnsi="Verdana"/>
                <w:color w:val="auto"/>
                <w:sz w:val="22"/>
                <w:szCs w:val="22"/>
              </w:rPr>
              <w:t>There should be a line showing the total (usable and unusable) reserves of the body.</w:t>
            </w:r>
          </w:p>
        </w:tc>
      </w:tr>
    </w:tbl>
    <w:p w14:paraId="513DE68E" w14:textId="77777777" w:rsidR="00B24E4C" w:rsidRPr="00831652" w:rsidRDefault="00D41B93" w:rsidP="00FF34A6">
      <w:pPr>
        <w:pStyle w:val="Subtitle"/>
        <w:spacing w:before="120"/>
        <w:rPr>
          <w:rFonts w:ascii="Verdana" w:hAnsi="Verdana"/>
          <w:b/>
          <w:color w:val="auto"/>
          <w:sz w:val="20"/>
          <w:szCs w:val="20"/>
        </w:rPr>
      </w:pPr>
      <w:r w:rsidRPr="00831652">
        <w:rPr>
          <w:rFonts w:ascii="Verdana" w:hAnsi="Verdana"/>
          <w:b/>
          <w:color w:val="auto"/>
          <w:sz w:val="20"/>
          <w:szCs w:val="20"/>
        </w:rPr>
        <w:t>Presentation of m</w:t>
      </w:r>
      <w:r w:rsidR="00B24E4C" w:rsidRPr="00831652">
        <w:rPr>
          <w:rFonts w:ascii="Verdana" w:hAnsi="Verdana"/>
          <w:b/>
          <w:color w:val="auto"/>
          <w:sz w:val="20"/>
          <w:szCs w:val="20"/>
        </w:rPr>
        <w:t>ovements in reserves in the MiRS</w:t>
      </w:r>
    </w:p>
    <w:p w14:paraId="4EC2C348" w14:textId="77777777" w:rsidR="00B24E4C" w:rsidRDefault="00B24E4C" w:rsidP="004303AD">
      <w:pPr>
        <w:pStyle w:val="ListParagraph"/>
        <w:numPr>
          <w:ilvl w:val="0"/>
          <w:numId w:val="15"/>
        </w:numPr>
        <w:spacing w:after="120"/>
      </w:pPr>
      <w:r>
        <w:t xml:space="preserve">The </w:t>
      </w:r>
      <w:r w:rsidR="00D41B93">
        <w:t xml:space="preserve">Code requires the </w:t>
      </w:r>
      <w:r>
        <w:t xml:space="preserve">movements </w:t>
      </w:r>
      <w:r w:rsidR="00D41B93">
        <w:t xml:space="preserve">on each reserve </w:t>
      </w:r>
      <w:r>
        <w:t xml:space="preserve">during </w:t>
      </w:r>
      <w:r w:rsidR="00D41B93">
        <w:t>the year to be presented in the MiRs</w:t>
      </w:r>
      <w:r>
        <w:t>. These are summarised in the following table:</w:t>
      </w:r>
    </w:p>
    <w:tbl>
      <w:tblPr>
        <w:tblStyle w:val="TableGrid"/>
        <w:tblW w:w="0" w:type="auto"/>
        <w:tblLook w:val="0620" w:firstRow="1" w:lastRow="0" w:firstColumn="0" w:lastColumn="0" w:noHBand="1" w:noVBand="1"/>
      </w:tblPr>
      <w:tblGrid>
        <w:gridCol w:w="2255"/>
        <w:gridCol w:w="6807"/>
      </w:tblGrid>
      <w:tr w:rsidR="00B67110" w:rsidRPr="00B67110" w14:paraId="15DDD677" w14:textId="77777777" w:rsidTr="001C74D4">
        <w:tc>
          <w:tcPr>
            <w:tcW w:w="2255" w:type="dxa"/>
          </w:tcPr>
          <w:p w14:paraId="20CA7800" w14:textId="77777777" w:rsidR="00B24E4C" w:rsidRPr="001C74D4" w:rsidRDefault="00B24E4C" w:rsidP="00B24E4C">
            <w:pPr>
              <w:pStyle w:val="21-Tabletext"/>
              <w:rPr>
                <w:rFonts w:ascii="Verdana" w:hAnsi="Verdana"/>
                <w:b/>
                <w:color w:val="auto"/>
                <w:sz w:val="22"/>
                <w:szCs w:val="22"/>
              </w:rPr>
            </w:pPr>
            <w:r w:rsidRPr="001C74D4">
              <w:rPr>
                <w:rFonts w:ascii="Verdana" w:hAnsi="Verdana"/>
                <w:b/>
                <w:color w:val="auto"/>
                <w:sz w:val="22"/>
                <w:szCs w:val="22"/>
              </w:rPr>
              <w:t>Item</w:t>
            </w:r>
          </w:p>
        </w:tc>
        <w:tc>
          <w:tcPr>
            <w:tcW w:w="6807" w:type="dxa"/>
          </w:tcPr>
          <w:p w14:paraId="126A5F7C" w14:textId="77777777" w:rsidR="00B24E4C" w:rsidRPr="001C74D4" w:rsidRDefault="00B24E4C" w:rsidP="00B24E4C">
            <w:pPr>
              <w:pStyle w:val="21-Tabletext"/>
              <w:rPr>
                <w:rFonts w:ascii="Verdana" w:hAnsi="Verdana"/>
                <w:b/>
                <w:color w:val="auto"/>
                <w:sz w:val="22"/>
                <w:szCs w:val="22"/>
              </w:rPr>
            </w:pPr>
            <w:r w:rsidRPr="001C74D4">
              <w:rPr>
                <w:rFonts w:ascii="Verdana" w:hAnsi="Verdana"/>
                <w:b/>
                <w:color w:val="auto"/>
                <w:sz w:val="22"/>
                <w:szCs w:val="22"/>
              </w:rPr>
              <w:t>Explanation and action</w:t>
            </w:r>
          </w:p>
        </w:tc>
      </w:tr>
      <w:tr w:rsidR="00B67110" w:rsidRPr="00B67110" w14:paraId="737AA2E5" w14:textId="77777777" w:rsidTr="001C74D4">
        <w:trPr>
          <w:trHeight w:val="237"/>
        </w:trPr>
        <w:tc>
          <w:tcPr>
            <w:tcW w:w="2255" w:type="dxa"/>
          </w:tcPr>
          <w:p w14:paraId="7A795277" w14:textId="77777777" w:rsidR="00B24E4C" w:rsidRPr="00B67110" w:rsidRDefault="00B24E4C" w:rsidP="00B24E4C">
            <w:pPr>
              <w:pStyle w:val="21-Tabletext"/>
              <w:rPr>
                <w:rFonts w:ascii="Verdana" w:hAnsi="Verdana"/>
                <w:color w:val="auto"/>
                <w:sz w:val="22"/>
                <w:szCs w:val="22"/>
              </w:rPr>
            </w:pPr>
            <w:r w:rsidRPr="00B67110">
              <w:rPr>
                <w:rFonts w:ascii="Verdana" w:hAnsi="Verdana"/>
                <w:color w:val="auto"/>
                <w:sz w:val="22"/>
                <w:szCs w:val="22"/>
              </w:rPr>
              <w:t>Balances at end of previous period</w:t>
            </w:r>
          </w:p>
        </w:tc>
        <w:tc>
          <w:tcPr>
            <w:tcW w:w="6807" w:type="dxa"/>
          </w:tcPr>
          <w:p w14:paraId="1B5DAB20" w14:textId="5E9BA5CE" w:rsidR="00B24E4C" w:rsidRPr="00B67110" w:rsidRDefault="00B67110" w:rsidP="00B24E4C">
            <w:pPr>
              <w:pStyle w:val="21-Tabletext"/>
              <w:rPr>
                <w:rFonts w:ascii="Verdana" w:hAnsi="Verdana"/>
                <w:color w:val="auto"/>
                <w:sz w:val="22"/>
                <w:szCs w:val="22"/>
              </w:rPr>
            </w:pPr>
            <w:r w:rsidRPr="00B67110">
              <w:rPr>
                <w:rStyle w:val="01-Bold"/>
                <w:rFonts w:ascii="Verdana" w:hAnsi="Verdana"/>
                <w:b w:val="0"/>
                <w:color w:val="auto"/>
                <w:sz w:val="22"/>
                <w:szCs w:val="22"/>
              </w:rPr>
              <w:t>These</w:t>
            </w:r>
            <w:r w:rsidR="00B24E4C" w:rsidRPr="00B67110">
              <w:rPr>
                <w:rFonts w:ascii="Verdana" w:hAnsi="Verdana"/>
                <w:color w:val="auto"/>
                <w:sz w:val="22"/>
                <w:szCs w:val="22"/>
              </w:rPr>
              <w:t xml:space="preserve"> </w:t>
            </w:r>
            <w:r w:rsidR="000F772B">
              <w:rPr>
                <w:rFonts w:ascii="Verdana" w:hAnsi="Verdana"/>
                <w:color w:val="auto"/>
                <w:sz w:val="22"/>
                <w:szCs w:val="22"/>
              </w:rPr>
              <w:t xml:space="preserve">should </w:t>
            </w:r>
            <w:r w:rsidR="00B24E4C" w:rsidRPr="00B67110">
              <w:rPr>
                <w:rFonts w:ascii="Verdana" w:hAnsi="Verdana"/>
                <w:color w:val="auto"/>
                <w:sz w:val="22"/>
                <w:szCs w:val="22"/>
              </w:rPr>
              <w:t xml:space="preserve">agree to the </w:t>
            </w:r>
            <w:r>
              <w:rPr>
                <w:rFonts w:ascii="Verdana" w:hAnsi="Verdana"/>
                <w:color w:val="auto"/>
                <w:sz w:val="22"/>
                <w:szCs w:val="22"/>
              </w:rPr>
              <w:t xml:space="preserve">comparative </w:t>
            </w:r>
            <w:r w:rsidR="00B24E4C" w:rsidRPr="00B67110">
              <w:rPr>
                <w:rFonts w:ascii="Verdana" w:hAnsi="Verdana"/>
                <w:color w:val="auto"/>
                <w:sz w:val="22"/>
                <w:szCs w:val="22"/>
              </w:rPr>
              <w:t xml:space="preserve">amounts in the Balance Sheet. </w:t>
            </w:r>
          </w:p>
        </w:tc>
      </w:tr>
      <w:tr w:rsidR="00B67110" w:rsidRPr="00B67110" w14:paraId="3D9E6ED4" w14:textId="77777777" w:rsidTr="001C74D4">
        <w:trPr>
          <w:trHeight w:val="237"/>
        </w:trPr>
        <w:tc>
          <w:tcPr>
            <w:tcW w:w="2255" w:type="dxa"/>
          </w:tcPr>
          <w:p w14:paraId="42C814D7" w14:textId="77777777" w:rsidR="00B24E4C" w:rsidRPr="00B67110" w:rsidRDefault="00B24E4C" w:rsidP="00B24E4C">
            <w:pPr>
              <w:pStyle w:val="21-Tabletext"/>
              <w:rPr>
                <w:rFonts w:ascii="Verdana" w:hAnsi="Verdana"/>
                <w:color w:val="auto"/>
                <w:sz w:val="22"/>
                <w:szCs w:val="22"/>
              </w:rPr>
            </w:pPr>
            <w:r w:rsidRPr="00B67110">
              <w:rPr>
                <w:rFonts w:ascii="Verdana" w:hAnsi="Verdana"/>
                <w:color w:val="auto"/>
                <w:sz w:val="22"/>
                <w:szCs w:val="22"/>
              </w:rPr>
              <w:t xml:space="preserve">Total comprehensive income and expenditure  </w:t>
            </w:r>
          </w:p>
        </w:tc>
        <w:tc>
          <w:tcPr>
            <w:tcW w:w="6807" w:type="dxa"/>
          </w:tcPr>
          <w:p w14:paraId="10D45A72" w14:textId="77777777" w:rsidR="00B24E4C" w:rsidRPr="00B67110" w:rsidRDefault="00B24E4C" w:rsidP="00B24E4C">
            <w:pPr>
              <w:pStyle w:val="21-Tabletext"/>
              <w:rPr>
                <w:rFonts w:ascii="Verdana" w:hAnsi="Verdana"/>
                <w:color w:val="auto"/>
                <w:sz w:val="22"/>
                <w:szCs w:val="22"/>
              </w:rPr>
            </w:pPr>
            <w:r w:rsidRPr="00B67110">
              <w:rPr>
                <w:rFonts w:ascii="Verdana" w:hAnsi="Verdana"/>
                <w:color w:val="auto"/>
                <w:sz w:val="22"/>
                <w:szCs w:val="22"/>
              </w:rPr>
              <w:t xml:space="preserve">There is no requirement to show lines separately for the SDPS and Other Comprehensive Income and Expenditure. </w:t>
            </w:r>
            <w:r w:rsidR="00B67110">
              <w:rPr>
                <w:rFonts w:ascii="Verdana" w:hAnsi="Verdana"/>
                <w:color w:val="auto"/>
                <w:sz w:val="22"/>
                <w:szCs w:val="22"/>
              </w:rPr>
              <w:t>T</w:t>
            </w:r>
            <w:r w:rsidRPr="00B67110">
              <w:rPr>
                <w:rFonts w:ascii="Verdana" w:hAnsi="Verdana"/>
                <w:color w:val="auto"/>
                <w:sz w:val="22"/>
                <w:szCs w:val="22"/>
              </w:rPr>
              <w:t xml:space="preserve">he amount (or amounts if separate) </w:t>
            </w:r>
            <w:r w:rsidR="00B67110">
              <w:rPr>
                <w:rFonts w:ascii="Verdana" w:hAnsi="Verdana"/>
                <w:color w:val="auto"/>
                <w:sz w:val="22"/>
                <w:szCs w:val="22"/>
              </w:rPr>
              <w:t xml:space="preserve">should </w:t>
            </w:r>
            <w:r w:rsidRPr="00B67110">
              <w:rPr>
                <w:rFonts w:ascii="Verdana" w:hAnsi="Verdana"/>
                <w:color w:val="auto"/>
                <w:sz w:val="22"/>
                <w:szCs w:val="22"/>
              </w:rPr>
              <w:t>agree to the CIES.</w:t>
            </w:r>
          </w:p>
        </w:tc>
      </w:tr>
      <w:tr w:rsidR="0014173D" w:rsidRPr="00B67110" w14:paraId="41A83A64" w14:textId="77777777" w:rsidTr="001C74D4">
        <w:trPr>
          <w:trHeight w:val="237"/>
        </w:trPr>
        <w:tc>
          <w:tcPr>
            <w:tcW w:w="2255" w:type="dxa"/>
          </w:tcPr>
          <w:p w14:paraId="71CE61C0" w14:textId="5BE54856" w:rsidR="0014173D" w:rsidRPr="00B67110" w:rsidRDefault="0014173D" w:rsidP="00B24E4C">
            <w:pPr>
              <w:pStyle w:val="21-Tabletext"/>
              <w:rPr>
                <w:rFonts w:ascii="Verdana" w:hAnsi="Verdana"/>
                <w:color w:val="auto"/>
                <w:sz w:val="22"/>
                <w:szCs w:val="22"/>
              </w:rPr>
            </w:pPr>
            <w:r>
              <w:rPr>
                <w:rFonts w:ascii="Verdana" w:hAnsi="Verdana"/>
                <w:color w:val="auto"/>
                <w:sz w:val="22"/>
                <w:szCs w:val="22"/>
              </w:rPr>
              <w:t>A</w:t>
            </w:r>
            <w:r w:rsidRPr="0014173D">
              <w:rPr>
                <w:rFonts w:ascii="Verdana" w:hAnsi="Verdana"/>
                <w:color w:val="auto"/>
                <w:sz w:val="22"/>
                <w:szCs w:val="22"/>
              </w:rPr>
              <w:t>djustments to usable reserves permitted by accounting standards (</w:t>
            </w:r>
            <w:r>
              <w:rPr>
                <w:rFonts w:ascii="Verdana" w:hAnsi="Verdana"/>
                <w:color w:val="auto"/>
                <w:sz w:val="22"/>
                <w:szCs w:val="22"/>
              </w:rPr>
              <w:t>Scotland only)</w:t>
            </w:r>
          </w:p>
        </w:tc>
        <w:tc>
          <w:tcPr>
            <w:tcW w:w="6807" w:type="dxa"/>
          </w:tcPr>
          <w:p w14:paraId="6452F6D5" w14:textId="77777777" w:rsidR="0014173D" w:rsidRDefault="0014173D" w:rsidP="0014173D">
            <w:pPr>
              <w:pStyle w:val="21-Tabletext"/>
              <w:rPr>
                <w:rFonts w:ascii="Verdana" w:hAnsi="Verdana"/>
                <w:color w:val="auto"/>
                <w:sz w:val="22"/>
                <w:szCs w:val="22"/>
              </w:rPr>
            </w:pPr>
            <w:r w:rsidRPr="0014173D">
              <w:rPr>
                <w:rFonts w:ascii="Verdana" w:hAnsi="Verdana"/>
                <w:color w:val="auto"/>
                <w:sz w:val="22"/>
                <w:szCs w:val="22"/>
              </w:rPr>
              <w:t xml:space="preserve">This line relates to items charged or credited to the SDPS that </w:t>
            </w:r>
            <w:r>
              <w:rPr>
                <w:rFonts w:ascii="Verdana" w:hAnsi="Verdana"/>
                <w:color w:val="auto"/>
                <w:sz w:val="22"/>
                <w:szCs w:val="22"/>
              </w:rPr>
              <w:t xml:space="preserve">may, in accordance with accounting standards, be transferred to or from other accounting reserves. </w:t>
            </w:r>
          </w:p>
          <w:p w14:paraId="03E1380A" w14:textId="77777777" w:rsidR="0014173D" w:rsidRDefault="0014173D" w:rsidP="0014173D">
            <w:pPr>
              <w:pStyle w:val="21-Tabletext"/>
              <w:rPr>
                <w:rFonts w:ascii="Verdana" w:hAnsi="Verdana"/>
                <w:color w:val="auto"/>
                <w:sz w:val="22"/>
                <w:szCs w:val="22"/>
              </w:rPr>
            </w:pPr>
            <w:r>
              <w:rPr>
                <w:rFonts w:ascii="Verdana" w:hAnsi="Verdana"/>
                <w:color w:val="auto"/>
                <w:sz w:val="22"/>
                <w:szCs w:val="22"/>
              </w:rPr>
              <w:t>The Code therefore allows Scottish authorities to transfer the valuation element of depreciation charges directly to the Revaluation Reserve.</w:t>
            </w:r>
          </w:p>
          <w:p w14:paraId="1588F192" w14:textId="1A4A33CC" w:rsidR="0014173D" w:rsidRPr="00B67110" w:rsidRDefault="0014173D" w:rsidP="0014173D">
            <w:pPr>
              <w:pStyle w:val="21-Tabletext"/>
              <w:rPr>
                <w:rFonts w:ascii="Verdana" w:hAnsi="Verdana"/>
                <w:color w:val="auto"/>
                <w:sz w:val="22"/>
                <w:szCs w:val="22"/>
              </w:rPr>
            </w:pPr>
            <w:r w:rsidRPr="003C49FC">
              <w:rPr>
                <w:rFonts w:ascii="Verdana" w:hAnsi="Verdana"/>
                <w:color w:val="auto"/>
                <w:sz w:val="22"/>
                <w:szCs w:val="22"/>
              </w:rPr>
              <w:t xml:space="preserve">The Code allows that this is optional. For consistency of reporting in Scotland this LASAAC guidance makes this presentation mandatory. </w:t>
            </w:r>
            <w:r w:rsidRPr="00831652">
              <w:rPr>
                <w:rFonts w:ascii="Verdana" w:hAnsi="Verdana"/>
                <w:b/>
                <w:color w:val="auto"/>
                <w:sz w:val="22"/>
                <w:szCs w:val="22"/>
              </w:rPr>
              <w:t xml:space="preserve">The option of presenting the reserves adjustment for the valuation element of depreciation </w:t>
            </w:r>
            <w:r w:rsidR="004F1419" w:rsidRPr="00831652">
              <w:rPr>
                <w:rFonts w:ascii="Verdana" w:hAnsi="Verdana"/>
                <w:b/>
                <w:color w:val="auto"/>
                <w:sz w:val="22"/>
                <w:szCs w:val="22"/>
              </w:rPr>
              <w:t>as a statutory adjustment is withdrawn</w:t>
            </w:r>
            <w:r w:rsidR="004F1419" w:rsidRPr="00831652">
              <w:rPr>
                <w:rFonts w:ascii="Verdana" w:hAnsi="Verdana"/>
                <w:color w:val="auto"/>
                <w:sz w:val="22"/>
                <w:szCs w:val="22"/>
              </w:rPr>
              <w:t>.</w:t>
            </w:r>
            <w:r>
              <w:rPr>
                <w:rFonts w:ascii="Verdana" w:hAnsi="Verdana"/>
                <w:color w:val="auto"/>
                <w:sz w:val="22"/>
                <w:szCs w:val="22"/>
              </w:rPr>
              <w:t xml:space="preserve"> </w:t>
            </w:r>
          </w:p>
        </w:tc>
      </w:tr>
      <w:tr w:rsidR="00B67110" w:rsidRPr="00B67110" w14:paraId="3581036E" w14:textId="77777777" w:rsidTr="001C74D4">
        <w:trPr>
          <w:trHeight w:val="237"/>
        </w:trPr>
        <w:tc>
          <w:tcPr>
            <w:tcW w:w="2255" w:type="dxa"/>
          </w:tcPr>
          <w:p w14:paraId="020E8353" w14:textId="77777777" w:rsidR="00B24E4C" w:rsidRPr="00B67110" w:rsidRDefault="00B24E4C" w:rsidP="00B24E4C">
            <w:pPr>
              <w:pStyle w:val="21-Tabletext"/>
              <w:rPr>
                <w:rFonts w:ascii="Verdana" w:hAnsi="Verdana"/>
                <w:color w:val="auto"/>
                <w:sz w:val="22"/>
                <w:szCs w:val="22"/>
              </w:rPr>
            </w:pPr>
            <w:r w:rsidRPr="00B67110">
              <w:rPr>
                <w:rFonts w:ascii="Verdana" w:hAnsi="Verdana"/>
                <w:color w:val="auto"/>
                <w:sz w:val="22"/>
                <w:szCs w:val="22"/>
              </w:rPr>
              <w:t xml:space="preserve">Adjustments for the differences between the accounting </w:t>
            </w:r>
            <w:r w:rsidRPr="00B67110">
              <w:rPr>
                <w:rFonts w:ascii="Verdana" w:hAnsi="Verdana"/>
                <w:color w:val="auto"/>
                <w:sz w:val="22"/>
                <w:szCs w:val="22"/>
              </w:rPr>
              <w:lastRenderedPageBreak/>
              <w:t>basis of items included in the CIES and the funding basis required by regulations etc</w:t>
            </w:r>
          </w:p>
        </w:tc>
        <w:tc>
          <w:tcPr>
            <w:tcW w:w="6807" w:type="dxa"/>
          </w:tcPr>
          <w:p w14:paraId="01D0C57F" w14:textId="77777777" w:rsidR="00B24E4C" w:rsidRPr="00B67110" w:rsidRDefault="00B24E4C" w:rsidP="00B24E4C">
            <w:pPr>
              <w:pStyle w:val="21-Tabletext"/>
              <w:rPr>
                <w:rFonts w:ascii="Verdana" w:hAnsi="Verdana"/>
                <w:color w:val="auto"/>
                <w:sz w:val="22"/>
                <w:szCs w:val="22"/>
              </w:rPr>
            </w:pPr>
            <w:r w:rsidRPr="00B67110">
              <w:rPr>
                <w:rFonts w:ascii="Verdana" w:hAnsi="Verdana"/>
                <w:color w:val="auto"/>
                <w:sz w:val="22"/>
                <w:szCs w:val="22"/>
              </w:rPr>
              <w:lastRenderedPageBreak/>
              <w:t xml:space="preserve">This line relates to items charged or credited to the SDPS that are not permitted debits or credits to the General Fund. They are subject to statutory adjustments to remove the impact from the General Fund. An </w:t>
            </w:r>
            <w:r w:rsidRPr="00B67110">
              <w:rPr>
                <w:rFonts w:ascii="Verdana" w:hAnsi="Verdana"/>
                <w:color w:val="auto"/>
                <w:sz w:val="22"/>
                <w:szCs w:val="22"/>
              </w:rPr>
              <w:lastRenderedPageBreak/>
              <w:t>analysis of the adjustments should either be presented on the face of the MiRS or disclosed in the notes.</w:t>
            </w:r>
          </w:p>
          <w:p w14:paraId="41355169" w14:textId="7942D2A6" w:rsidR="00B24E4C" w:rsidRPr="00B67110" w:rsidRDefault="00B67110" w:rsidP="00B24E4C">
            <w:pPr>
              <w:pStyle w:val="21-Tabletext"/>
              <w:rPr>
                <w:rFonts w:ascii="Verdana" w:hAnsi="Verdana"/>
                <w:color w:val="auto"/>
                <w:sz w:val="22"/>
                <w:szCs w:val="22"/>
              </w:rPr>
            </w:pPr>
            <w:r>
              <w:rPr>
                <w:rFonts w:ascii="Verdana" w:hAnsi="Verdana"/>
                <w:color w:val="auto"/>
                <w:sz w:val="22"/>
                <w:szCs w:val="22"/>
              </w:rPr>
              <w:t>The Code (</w:t>
            </w:r>
            <w:r w:rsidR="007A5335">
              <w:rPr>
                <w:rFonts w:ascii="Verdana" w:hAnsi="Verdana"/>
                <w:color w:val="auto"/>
                <w:sz w:val="22"/>
                <w:szCs w:val="22"/>
              </w:rPr>
              <w:t>p</w:t>
            </w:r>
            <w:r w:rsidR="00B24E4C" w:rsidRPr="00B67110">
              <w:rPr>
                <w:rFonts w:ascii="Verdana" w:hAnsi="Verdana"/>
                <w:color w:val="auto"/>
                <w:sz w:val="22"/>
                <w:szCs w:val="22"/>
              </w:rPr>
              <w:t>aragraph 3.4.2.5</w:t>
            </w:r>
            <w:r w:rsidR="00B76E9C">
              <w:rPr>
                <w:rFonts w:ascii="Verdana" w:hAnsi="Verdana"/>
                <w:color w:val="auto"/>
                <w:sz w:val="22"/>
                <w:szCs w:val="22"/>
              </w:rPr>
              <w:t>7</w:t>
            </w:r>
            <w:r w:rsidR="00B24E4C" w:rsidRPr="00B67110">
              <w:rPr>
                <w:rFonts w:ascii="Verdana" w:hAnsi="Verdana"/>
                <w:color w:val="auto"/>
                <w:sz w:val="22"/>
                <w:szCs w:val="22"/>
              </w:rPr>
              <w:t xml:space="preserve"> of the </w:t>
            </w:r>
            <w:r>
              <w:rPr>
                <w:rFonts w:ascii="Verdana" w:hAnsi="Verdana"/>
                <w:color w:val="auto"/>
                <w:sz w:val="22"/>
                <w:szCs w:val="22"/>
              </w:rPr>
              <w:t>20</w:t>
            </w:r>
            <w:r w:rsidR="00B76E9C">
              <w:rPr>
                <w:rFonts w:ascii="Verdana" w:hAnsi="Verdana"/>
                <w:color w:val="auto"/>
                <w:sz w:val="22"/>
                <w:szCs w:val="22"/>
              </w:rPr>
              <w:t>20</w:t>
            </w:r>
            <w:r>
              <w:rPr>
                <w:rFonts w:ascii="Verdana" w:hAnsi="Verdana"/>
                <w:color w:val="auto"/>
                <w:sz w:val="22"/>
                <w:szCs w:val="22"/>
              </w:rPr>
              <w:t>/2</w:t>
            </w:r>
            <w:r w:rsidR="00B76E9C">
              <w:rPr>
                <w:rFonts w:ascii="Verdana" w:hAnsi="Verdana"/>
                <w:color w:val="auto"/>
                <w:sz w:val="22"/>
                <w:szCs w:val="22"/>
              </w:rPr>
              <w:t>1</w:t>
            </w:r>
            <w:r>
              <w:rPr>
                <w:rFonts w:ascii="Verdana" w:hAnsi="Verdana"/>
                <w:color w:val="auto"/>
                <w:sz w:val="22"/>
                <w:szCs w:val="22"/>
              </w:rPr>
              <w:t xml:space="preserve"> version)</w:t>
            </w:r>
            <w:r w:rsidR="00B24E4C" w:rsidRPr="00B67110">
              <w:rPr>
                <w:rFonts w:ascii="Verdana" w:hAnsi="Verdana"/>
                <w:color w:val="auto"/>
                <w:sz w:val="22"/>
                <w:szCs w:val="22"/>
              </w:rPr>
              <w:t xml:space="preserve"> sets out the items that should be included in the analysis. </w:t>
            </w:r>
          </w:p>
        </w:tc>
      </w:tr>
      <w:tr w:rsidR="00B67110" w:rsidRPr="00B67110" w14:paraId="7317D225" w14:textId="77777777" w:rsidTr="001C74D4">
        <w:trPr>
          <w:trHeight w:val="237"/>
        </w:trPr>
        <w:tc>
          <w:tcPr>
            <w:tcW w:w="2255" w:type="dxa"/>
          </w:tcPr>
          <w:p w14:paraId="316D6070" w14:textId="77777777" w:rsidR="00B24E4C" w:rsidRPr="00B67110" w:rsidRDefault="00B24E4C" w:rsidP="00B24E4C">
            <w:pPr>
              <w:pStyle w:val="21-Tabletext"/>
              <w:rPr>
                <w:rFonts w:ascii="Verdana" w:hAnsi="Verdana"/>
                <w:color w:val="auto"/>
                <w:sz w:val="22"/>
                <w:szCs w:val="22"/>
              </w:rPr>
            </w:pPr>
            <w:r w:rsidRPr="00B67110">
              <w:rPr>
                <w:rFonts w:ascii="Verdana" w:hAnsi="Verdana"/>
                <w:color w:val="auto"/>
                <w:sz w:val="22"/>
                <w:szCs w:val="22"/>
              </w:rPr>
              <w:lastRenderedPageBreak/>
              <w:t>Transfers to and from other statutory reserves</w:t>
            </w:r>
          </w:p>
        </w:tc>
        <w:tc>
          <w:tcPr>
            <w:tcW w:w="6807" w:type="dxa"/>
          </w:tcPr>
          <w:p w14:paraId="4C197B7C" w14:textId="3DB84B15" w:rsidR="00B24E4C" w:rsidRPr="00B67110" w:rsidRDefault="00B24E4C" w:rsidP="00B24E4C">
            <w:pPr>
              <w:pStyle w:val="21-Tabletext"/>
              <w:rPr>
                <w:rFonts w:ascii="Verdana" w:hAnsi="Verdana"/>
                <w:color w:val="auto"/>
                <w:sz w:val="22"/>
                <w:szCs w:val="22"/>
              </w:rPr>
            </w:pPr>
            <w:r w:rsidRPr="00B67110">
              <w:rPr>
                <w:rFonts w:ascii="Verdana" w:hAnsi="Verdana"/>
                <w:color w:val="auto"/>
                <w:sz w:val="22"/>
                <w:szCs w:val="22"/>
              </w:rPr>
              <w:t>Included in this line, in addition to the straight-forward transfers between usable reserves, should be transfers of capital receipts from the Capital Grants and Receipts Unapplied Account to the General Fund to fund equal pay or transformation expenditure</w:t>
            </w:r>
            <w:r w:rsidR="007A5335">
              <w:rPr>
                <w:rFonts w:ascii="Verdana" w:hAnsi="Verdana"/>
                <w:color w:val="auto"/>
                <w:sz w:val="22"/>
                <w:szCs w:val="22"/>
              </w:rPr>
              <w:t>.</w:t>
            </w:r>
          </w:p>
          <w:p w14:paraId="08A312E0" w14:textId="46BC783D" w:rsidR="00B24E4C" w:rsidRPr="00B67110" w:rsidRDefault="00B67110" w:rsidP="00B67110">
            <w:pPr>
              <w:pStyle w:val="22A-Tablebullet1"/>
              <w:numPr>
                <w:ilvl w:val="0"/>
                <w:numId w:val="0"/>
              </w:numPr>
              <w:ind w:left="113"/>
              <w:rPr>
                <w:rFonts w:ascii="Verdana" w:hAnsi="Verdana"/>
                <w:color w:val="auto"/>
                <w:sz w:val="22"/>
                <w:szCs w:val="22"/>
              </w:rPr>
            </w:pPr>
            <w:r>
              <w:rPr>
                <w:rFonts w:ascii="Verdana" w:hAnsi="Verdana"/>
                <w:color w:val="auto"/>
                <w:sz w:val="22"/>
                <w:szCs w:val="22"/>
              </w:rPr>
              <w:t xml:space="preserve">As earmarked parts of the General Fund are not separate reserves, any movements between the earmarked parts do not represent transfers between reserves and should </w:t>
            </w:r>
            <w:r w:rsidR="00E32A27">
              <w:rPr>
                <w:rFonts w:ascii="Verdana" w:hAnsi="Verdana"/>
                <w:color w:val="auto"/>
                <w:sz w:val="22"/>
                <w:szCs w:val="22"/>
              </w:rPr>
              <w:t xml:space="preserve">not </w:t>
            </w:r>
            <w:r>
              <w:rPr>
                <w:rFonts w:ascii="Verdana" w:hAnsi="Verdana"/>
                <w:color w:val="auto"/>
                <w:sz w:val="22"/>
                <w:szCs w:val="22"/>
              </w:rPr>
              <w:t>be included in this line.</w:t>
            </w:r>
          </w:p>
        </w:tc>
      </w:tr>
      <w:tr w:rsidR="00B67110" w:rsidRPr="00B67110" w14:paraId="76101E98" w14:textId="77777777" w:rsidTr="001C74D4">
        <w:trPr>
          <w:trHeight w:val="237"/>
        </w:trPr>
        <w:tc>
          <w:tcPr>
            <w:tcW w:w="2255" w:type="dxa"/>
          </w:tcPr>
          <w:p w14:paraId="73E5CD2D" w14:textId="77777777" w:rsidR="00B24E4C" w:rsidRPr="00B67110" w:rsidRDefault="00B24E4C" w:rsidP="00B24E4C">
            <w:pPr>
              <w:pStyle w:val="21-Tabletext"/>
              <w:rPr>
                <w:rFonts w:ascii="Verdana" w:hAnsi="Verdana"/>
                <w:color w:val="auto"/>
                <w:sz w:val="22"/>
                <w:szCs w:val="22"/>
              </w:rPr>
            </w:pPr>
            <w:r w:rsidRPr="00B67110">
              <w:rPr>
                <w:rFonts w:ascii="Verdana" w:hAnsi="Verdana"/>
                <w:color w:val="auto"/>
                <w:sz w:val="22"/>
                <w:szCs w:val="22"/>
              </w:rPr>
              <w:t>Balances at end of reporting period</w:t>
            </w:r>
          </w:p>
        </w:tc>
        <w:tc>
          <w:tcPr>
            <w:tcW w:w="6807" w:type="dxa"/>
          </w:tcPr>
          <w:p w14:paraId="51FD1B60" w14:textId="77777777" w:rsidR="00B24E4C" w:rsidRPr="00B67110" w:rsidRDefault="00B67110" w:rsidP="00B24E4C">
            <w:pPr>
              <w:pStyle w:val="21-Tabletext"/>
              <w:rPr>
                <w:rFonts w:ascii="Verdana" w:hAnsi="Verdana"/>
                <w:color w:val="auto"/>
                <w:sz w:val="22"/>
                <w:szCs w:val="22"/>
              </w:rPr>
            </w:pPr>
            <w:r>
              <w:rPr>
                <w:rFonts w:ascii="Verdana" w:hAnsi="Verdana"/>
                <w:color w:val="auto"/>
                <w:sz w:val="22"/>
                <w:szCs w:val="22"/>
              </w:rPr>
              <w:t>T</w:t>
            </w:r>
            <w:r w:rsidR="00B24E4C" w:rsidRPr="00B67110">
              <w:rPr>
                <w:rFonts w:ascii="Verdana" w:hAnsi="Verdana"/>
                <w:color w:val="auto"/>
                <w:sz w:val="22"/>
                <w:szCs w:val="22"/>
              </w:rPr>
              <w:t xml:space="preserve">hese </w:t>
            </w:r>
            <w:r>
              <w:rPr>
                <w:rFonts w:ascii="Verdana" w:hAnsi="Verdana"/>
                <w:color w:val="auto"/>
                <w:sz w:val="22"/>
                <w:szCs w:val="22"/>
              </w:rPr>
              <w:t xml:space="preserve">should </w:t>
            </w:r>
            <w:r w:rsidR="00B24E4C" w:rsidRPr="00B67110">
              <w:rPr>
                <w:rFonts w:ascii="Verdana" w:hAnsi="Verdana"/>
                <w:color w:val="auto"/>
                <w:sz w:val="22"/>
                <w:szCs w:val="22"/>
              </w:rPr>
              <w:t>agree to the amounts in the Balance Sheet, and total to the net worth of the body at that date.</w:t>
            </w:r>
          </w:p>
        </w:tc>
      </w:tr>
    </w:tbl>
    <w:p w14:paraId="63729C8F" w14:textId="77777777" w:rsidR="00B24E4C" w:rsidRDefault="00B24E4C" w:rsidP="00B24E4C"/>
    <w:p w14:paraId="3EED1728" w14:textId="62696CE2" w:rsidR="00D62A65" w:rsidRPr="00831652" w:rsidRDefault="00E32A27" w:rsidP="00A81074">
      <w:pPr>
        <w:pStyle w:val="Subtitle"/>
        <w:rPr>
          <w:rFonts w:ascii="Verdana" w:hAnsi="Verdana"/>
          <w:b/>
          <w:color w:val="auto"/>
          <w:sz w:val="20"/>
          <w:szCs w:val="20"/>
        </w:rPr>
      </w:pPr>
      <w:r w:rsidRPr="00831652">
        <w:rPr>
          <w:rFonts w:ascii="Verdana" w:hAnsi="Verdana"/>
          <w:b/>
          <w:color w:val="auto"/>
          <w:sz w:val="20"/>
          <w:szCs w:val="20"/>
        </w:rPr>
        <w:t xml:space="preserve">Treatment of </w:t>
      </w:r>
      <w:r w:rsidR="00D62A65" w:rsidRPr="00831652">
        <w:rPr>
          <w:rFonts w:ascii="Verdana" w:hAnsi="Verdana"/>
          <w:b/>
          <w:color w:val="auto"/>
          <w:sz w:val="20"/>
          <w:szCs w:val="20"/>
        </w:rPr>
        <w:t>HRA balance</w:t>
      </w:r>
      <w:r w:rsidRPr="00831652">
        <w:rPr>
          <w:rFonts w:ascii="Verdana" w:hAnsi="Verdana"/>
          <w:b/>
          <w:color w:val="auto"/>
          <w:sz w:val="20"/>
          <w:szCs w:val="20"/>
        </w:rPr>
        <w:t xml:space="preserve"> in the MiRS</w:t>
      </w:r>
    </w:p>
    <w:p w14:paraId="289E2104" w14:textId="11674E66" w:rsidR="00D62A65" w:rsidRDefault="00D62A65" w:rsidP="004303AD">
      <w:pPr>
        <w:pStyle w:val="ListParagraph"/>
        <w:numPr>
          <w:ilvl w:val="0"/>
          <w:numId w:val="15"/>
        </w:numPr>
      </w:pPr>
      <w:r>
        <w:t>The only exception to the prohibition on presenting earmarked parts of the General Fund as a separate reserve is in respect of the Housing Revenue Account (HRA). Although the legislative framework</w:t>
      </w:r>
      <w:r w:rsidR="00BE5517">
        <w:rPr>
          <w:rStyle w:val="FootnoteReference"/>
        </w:rPr>
        <w:footnoteReference w:id="5"/>
      </w:r>
      <w:r w:rsidR="00BE5517">
        <w:t xml:space="preserve"> </w:t>
      </w:r>
      <w:r>
        <w:t>does not refer to a specific HRA reserve, it is within the spirit of the Housing Scotland Act 1987 which ring fences HRA monies. Where Scottish authorities earmark a portion of the General Fund in respect of the HRA, this guidance requires it to be described as the HRA balance and allows the HRA balance to be presented as if it were a separate reserve in the MiRS.</w:t>
      </w:r>
    </w:p>
    <w:p w14:paraId="4D2D14BF" w14:textId="7226A594" w:rsidR="007B448F" w:rsidRPr="00831652" w:rsidRDefault="007B448F" w:rsidP="001C74D4">
      <w:pPr>
        <w:pStyle w:val="Subtitle"/>
        <w:spacing w:before="120" w:after="120"/>
        <w:rPr>
          <w:rFonts w:ascii="Verdana" w:hAnsi="Verdana"/>
          <w:b/>
          <w:color w:val="auto"/>
          <w:sz w:val="20"/>
          <w:szCs w:val="20"/>
        </w:rPr>
      </w:pPr>
      <w:r w:rsidRPr="00831652">
        <w:rPr>
          <w:rFonts w:ascii="Verdana" w:hAnsi="Verdana"/>
          <w:b/>
          <w:color w:val="auto"/>
          <w:sz w:val="20"/>
          <w:szCs w:val="20"/>
        </w:rPr>
        <w:t>Presentation of reserves in the Balance Sheet</w:t>
      </w:r>
    </w:p>
    <w:p w14:paraId="20AF3080" w14:textId="3E0E2764" w:rsidR="00DF4F82" w:rsidRDefault="00366FE0" w:rsidP="004303AD">
      <w:pPr>
        <w:pStyle w:val="ListParagraph"/>
        <w:numPr>
          <w:ilvl w:val="0"/>
          <w:numId w:val="15"/>
        </w:numPr>
        <w:spacing w:after="120"/>
      </w:pPr>
      <w:r>
        <w:t>The Code (paragraph 3.4</w:t>
      </w:r>
      <w:r w:rsidR="007850A1">
        <w:t>.2.6</w:t>
      </w:r>
      <w:r w:rsidR="00757C64">
        <w:t>2</w:t>
      </w:r>
      <w:r w:rsidR="007850A1">
        <w:t xml:space="preserve"> in the 20</w:t>
      </w:r>
      <w:r w:rsidR="00757C64">
        <w:t>20</w:t>
      </w:r>
      <w:r w:rsidR="007850A1">
        <w:t>/2</w:t>
      </w:r>
      <w:r w:rsidR="00757C64">
        <w:t>1</w:t>
      </w:r>
      <w:r w:rsidR="007850A1">
        <w:t xml:space="preserve"> edition) requires reserves to be analysed between usable and unusable</w:t>
      </w:r>
      <w:r w:rsidR="000612F4">
        <w:t xml:space="preserve"> in the Balance Sheet</w:t>
      </w:r>
      <w:r w:rsidR="002830E5">
        <w:t>. No further analysis (such as over usable reserves</w:t>
      </w:r>
      <w:r w:rsidR="00D0010B">
        <w:t xml:space="preserve"> as required for the MiRS) is required. </w:t>
      </w:r>
      <w:r w:rsidR="00521478">
        <w:t xml:space="preserve">This guidance supports that position </w:t>
      </w:r>
      <w:r w:rsidR="002C7E23">
        <w:t xml:space="preserve">to avoid cluttering the face </w:t>
      </w:r>
      <w:r w:rsidR="0089587C">
        <w:t xml:space="preserve">of the Balance Sheet. </w:t>
      </w:r>
    </w:p>
    <w:p w14:paraId="4FAB1B4C" w14:textId="13FD62D4" w:rsidR="007B448F" w:rsidRDefault="00DF4F82" w:rsidP="00DF4F82">
      <w:pPr>
        <w:pStyle w:val="ListParagraph"/>
        <w:numPr>
          <w:ilvl w:val="0"/>
          <w:numId w:val="15"/>
        </w:numPr>
        <w:spacing w:after="120"/>
      </w:pPr>
      <w:r>
        <w:t>The Code (paragraph 3.4.2.6</w:t>
      </w:r>
      <w:r w:rsidR="00FC4C88">
        <w:t>8</w:t>
      </w:r>
      <w:r>
        <w:t xml:space="preserve"> in the 20</w:t>
      </w:r>
      <w:r w:rsidR="00FC4C88">
        <w:t>20</w:t>
      </w:r>
      <w:r>
        <w:t>/2</w:t>
      </w:r>
      <w:r w:rsidR="00FC4C88">
        <w:t>1</w:t>
      </w:r>
      <w:r>
        <w:t xml:space="preserve"> edition) sets out disclosure requirements for reserves. As unusable reserves are disclosed as single heading in the MiRS a local authority is required to disclose, in a note, the nature and purpose of each unusable reserve, the carrying amount of each reserve as at the balance sheet date and the movement in the reserve in the period. </w:t>
      </w:r>
    </w:p>
    <w:p w14:paraId="556554DE" w14:textId="60057A2E" w:rsidR="00D62A65" w:rsidRPr="00831652" w:rsidRDefault="00A81074" w:rsidP="001C74D4">
      <w:pPr>
        <w:pStyle w:val="Subtitle"/>
        <w:spacing w:before="120" w:after="120"/>
        <w:rPr>
          <w:rFonts w:ascii="Verdana" w:hAnsi="Verdana"/>
          <w:b/>
          <w:color w:val="auto"/>
          <w:sz w:val="20"/>
          <w:szCs w:val="20"/>
        </w:rPr>
      </w:pPr>
      <w:r w:rsidRPr="00831652">
        <w:rPr>
          <w:rFonts w:ascii="Verdana" w:hAnsi="Verdana"/>
          <w:b/>
          <w:color w:val="auto"/>
          <w:sz w:val="20"/>
          <w:szCs w:val="20"/>
        </w:rPr>
        <w:t>Disclosure of analysis of e</w:t>
      </w:r>
      <w:r w:rsidR="00D62A65" w:rsidRPr="00831652">
        <w:rPr>
          <w:rFonts w:ascii="Verdana" w:hAnsi="Verdana"/>
          <w:b/>
          <w:color w:val="auto"/>
          <w:sz w:val="20"/>
          <w:szCs w:val="20"/>
        </w:rPr>
        <w:t>armarked portions of a statutory fund</w:t>
      </w:r>
    </w:p>
    <w:p w14:paraId="2B75AE41" w14:textId="6BAC75E9" w:rsidR="00D62A65" w:rsidRDefault="00D62A65" w:rsidP="004303AD">
      <w:pPr>
        <w:pStyle w:val="ListParagraph"/>
        <w:numPr>
          <w:ilvl w:val="0"/>
          <w:numId w:val="15"/>
        </w:numPr>
        <w:spacing w:before="120" w:after="120"/>
      </w:pPr>
      <w:r>
        <w:t xml:space="preserve">The </w:t>
      </w:r>
      <w:r w:rsidR="00C10F71">
        <w:t xml:space="preserve">Code </w:t>
      </w:r>
      <w:r>
        <w:t>(paragraph 3.4.2.</w:t>
      </w:r>
      <w:r w:rsidR="001A617D">
        <w:t>60</w:t>
      </w:r>
      <w:r w:rsidR="00B67110">
        <w:t xml:space="preserve"> in the 20</w:t>
      </w:r>
      <w:r w:rsidR="001A617D">
        <w:t>20</w:t>
      </w:r>
      <w:r w:rsidR="00B67110">
        <w:t>/2</w:t>
      </w:r>
      <w:r w:rsidR="001A617D">
        <w:t>1</w:t>
      </w:r>
      <w:r w:rsidR="00B67110">
        <w:t xml:space="preserve"> edition</w:t>
      </w:r>
      <w:r>
        <w:t xml:space="preserve">) requires an analysis of earmarked reserves to be disclosed in a note. </w:t>
      </w:r>
      <w:r w:rsidR="00B67110">
        <w:t xml:space="preserve">This guidance applies that </w:t>
      </w:r>
      <w:r>
        <w:lastRenderedPageBreak/>
        <w:t xml:space="preserve">requirement </w:t>
      </w:r>
      <w:r w:rsidR="00A81074">
        <w:t xml:space="preserve">in Scotland </w:t>
      </w:r>
      <w:r>
        <w:t xml:space="preserve">to earmarked elements of the General Fund or other statutory fund. </w:t>
      </w:r>
      <w:r w:rsidR="00A81074">
        <w:t>E</w:t>
      </w:r>
      <w:r>
        <w:t xml:space="preserve">armarked elements of the General Fund or other statutory fund at </w:t>
      </w:r>
      <w:r w:rsidR="00A81074">
        <w:t xml:space="preserve">the year end should </w:t>
      </w:r>
      <w:r w:rsidR="00CC3394">
        <w:t xml:space="preserve">therefore </w:t>
      </w:r>
      <w:r w:rsidR="00A81074">
        <w:t xml:space="preserve">be </w:t>
      </w:r>
      <w:r>
        <w:t>disclosed in a note.</w:t>
      </w:r>
    </w:p>
    <w:p w14:paraId="44878B2C" w14:textId="04F9D139" w:rsidR="00623538" w:rsidRDefault="0029539B" w:rsidP="004303AD">
      <w:pPr>
        <w:pStyle w:val="ListParagraph"/>
        <w:numPr>
          <w:ilvl w:val="0"/>
          <w:numId w:val="15"/>
        </w:numPr>
        <w:spacing w:before="120" w:after="120"/>
      </w:pPr>
      <w:r>
        <w:t>For the avoidance of doubt</w:t>
      </w:r>
      <w:r w:rsidR="00597122" w:rsidRPr="00597122">
        <w:t xml:space="preserve">, the sums disclosed </w:t>
      </w:r>
      <w:r w:rsidR="00597122">
        <w:t xml:space="preserve">as earmarked parts </w:t>
      </w:r>
      <w:r w:rsidR="00597122" w:rsidRPr="00597122">
        <w:t xml:space="preserve">do not confer any legal </w:t>
      </w:r>
      <w:r w:rsidR="00072358">
        <w:t xml:space="preserve">or constructive </w:t>
      </w:r>
      <w:r w:rsidR="00597122" w:rsidRPr="00597122">
        <w:t>obligation on the part of the local authority to expend the sums in the disclosed manner. They are an indicator of the policy intention of the local authority at the balance sheet date.</w:t>
      </w:r>
      <w:r w:rsidR="00072358">
        <w:t xml:space="preserve"> </w:t>
      </w:r>
      <w:r w:rsidR="00F05A16">
        <w:t>W</w:t>
      </w:r>
      <w:r w:rsidR="00072358">
        <w:t xml:space="preserve">here </w:t>
      </w:r>
      <w:r w:rsidR="00F82670">
        <w:t xml:space="preserve">the authority does </w:t>
      </w:r>
      <w:r w:rsidR="00CA66D3">
        <w:t xml:space="preserve">have a legal or constructive obligation, </w:t>
      </w:r>
      <w:r w:rsidR="00086D9D">
        <w:t xml:space="preserve">it should </w:t>
      </w:r>
      <w:r w:rsidR="00A55BCF">
        <w:t xml:space="preserve">be </w:t>
      </w:r>
      <w:r w:rsidR="00086D9D">
        <w:t>reco</w:t>
      </w:r>
      <w:r w:rsidR="00A55BCF">
        <w:t xml:space="preserve">gnised as </w:t>
      </w:r>
      <w:r w:rsidR="00CA66D3">
        <w:t xml:space="preserve">a provision under IAS 37 </w:t>
      </w:r>
      <w:r w:rsidR="00A55BCF">
        <w:t>and not by earmarking the General Fund</w:t>
      </w:r>
      <w:r w:rsidR="0020187D">
        <w:t>.</w:t>
      </w:r>
    </w:p>
    <w:p w14:paraId="5CAAB2C7" w14:textId="5E40A3DD" w:rsidR="00FF34A6" w:rsidRDefault="00B617D3" w:rsidP="004303AD">
      <w:pPr>
        <w:pStyle w:val="ListParagraph"/>
        <w:numPr>
          <w:ilvl w:val="0"/>
          <w:numId w:val="15"/>
        </w:numPr>
        <w:spacing w:before="120" w:after="120"/>
      </w:pPr>
      <w:hyperlink r:id="rId44" w:history="1">
        <w:r w:rsidR="00FF34A6" w:rsidRPr="00A57A19">
          <w:rPr>
            <w:rStyle w:val="Hyperlink"/>
          </w:rPr>
          <w:t>Guidance from LASAAC on IFRS 9</w:t>
        </w:r>
      </w:hyperlink>
      <w:r w:rsidR="00FF34A6">
        <w:t xml:space="preserve"> requires the </w:t>
      </w:r>
      <w:r w:rsidR="00382898">
        <w:t xml:space="preserve">General Fund to be </w:t>
      </w:r>
      <w:r w:rsidR="00FF34A6">
        <w:t>earmark</w:t>
      </w:r>
      <w:r w:rsidR="00382898">
        <w:t>ed for</w:t>
      </w:r>
      <w:r w:rsidR="00FF34A6">
        <w:t xml:space="preserve"> gains arising from the increase in the fair value of financial assets to the extent it is not available to fund the delivery of services due to n</w:t>
      </w:r>
      <w:r w:rsidR="0020187D">
        <w:t>o</w:t>
      </w:r>
      <w:r w:rsidR="00FF34A6">
        <w:t>t being readily convertible to cash.</w:t>
      </w:r>
    </w:p>
    <w:p w14:paraId="5D4BDFA4" w14:textId="3C9671C9" w:rsidR="00F64A34" w:rsidRDefault="001E4108" w:rsidP="004303AD">
      <w:pPr>
        <w:pStyle w:val="ListParagraph"/>
        <w:numPr>
          <w:ilvl w:val="0"/>
          <w:numId w:val="15"/>
        </w:numPr>
        <w:spacing w:before="120" w:after="120"/>
      </w:pPr>
      <w:r>
        <w:t xml:space="preserve">An </w:t>
      </w:r>
      <w:r w:rsidR="008F31BF">
        <w:t>i</w:t>
      </w:r>
      <w:r w:rsidR="00F64A34">
        <w:t>llustrati</w:t>
      </w:r>
      <w:r w:rsidR="008F31BF">
        <w:t xml:space="preserve">on of a </w:t>
      </w:r>
      <w:r w:rsidR="00F64A34">
        <w:t xml:space="preserve">disclosure </w:t>
      </w:r>
      <w:r w:rsidR="008F31BF">
        <w:t>note for the earmar</w:t>
      </w:r>
      <w:r w:rsidR="00DC1AFF">
        <w:t xml:space="preserve">ked parts of the General Fund balance is provided </w:t>
      </w:r>
      <w:r w:rsidR="00F64A34">
        <w:t>at Appendix 1.</w:t>
      </w:r>
    </w:p>
    <w:p w14:paraId="1B995ADB" w14:textId="77777777" w:rsidR="00B24E4C" w:rsidRPr="00831652" w:rsidRDefault="00A81074" w:rsidP="001C74D4">
      <w:pPr>
        <w:pStyle w:val="Subtitle"/>
        <w:spacing w:before="120" w:after="120"/>
        <w:rPr>
          <w:rFonts w:ascii="Verdana" w:hAnsi="Verdana"/>
          <w:b/>
          <w:sz w:val="20"/>
          <w:szCs w:val="20"/>
        </w:rPr>
      </w:pPr>
      <w:r w:rsidRPr="00831652">
        <w:rPr>
          <w:rFonts w:ascii="Verdana" w:hAnsi="Verdana"/>
          <w:b/>
          <w:color w:val="auto"/>
          <w:sz w:val="20"/>
          <w:szCs w:val="20"/>
        </w:rPr>
        <w:t>Disclosure of a</w:t>
      </w:r>
      <w:r w:rsidR="00B24E4C" w:rsidRPr="00831652">
        <w:rPr>
          <w:rFonts w:ascii="Verdana" w:hAnsi="Verdana"/>
          <w:b/>
          <w:color w:val="auto"/>
          <w:sz w:val="20"/>
          <w:szCs w:val="20"/>
        </w:rPr>
        <w:t>nalysis of the Employee Statutory Adjustment Account</w:t>
      </w:r>
      <w:r w:rsidR="00B24E4C" w:rsidRPr="00831652">
        <w:rPr>
          <w:rFonts w:ascii="Verdana" w:hAnsi="Verdana"/>
          <w:b/>
          <w:sz w:val="20"/>
          <w:szCs w:val="20"/>
        </w:rPr>
        <w:t xml:space="preserve"> </w:t>
      </w:r>
    </w:p>
    <w:p w14:paraId="2F814375" w14:textId="4BBC121A" w:rsidR="00225135" w:rsidRDefault="00B617D3" w:rsidP="004303AD">
      <w:pPr>
        <w:pStyle w:val="ListParagraph"/>
        <w:numPr>
          <w:ilvl w:val="0"/>
          <w:numId w:val="15"/>
        </w:numPr>
        <w:spacing w:before="120" w:after="120"/>
      </w:pPr>
      <w:hyperlink r:id="rId45" w:history="1">
        <w:r w:rsidR="00B24E4C" w:rsidRPr="00225135">
          <w:rPr>
            <w:rStyle w:val="Hyperlink"/>
          </w:rPr>
          <w:t>Finance Circular 1/2019</w:t>
        </w:r>
      </w:hyperlink>
      <w:r w:rsidR="00B24E4C">
        <w:t xml:space="preserve"> requires </w:t>
      </w:r>
      <w:r w:rsidR="008E19E1">
        <w:t>local authorities</w:t>
      </w:r>
      <w:r w:rsidR="00B24E4C">
        <w:t xml:space="preserve"> to </w:t>
      </w:r>
      <w:r w:rsidR="00832464">
        <w:t xml:space="preserve">disclose in the notes </w:t>
      </w:r>
      <w:r w:rsidR="008079E1">
        <w:t xml:space="preserve">an analysis of </w:t>
      </w:r>
      <w:r w:rsidR="00B24E4C">
        <w:t>the Employee Statutory Adjustment Account</w:t>
      </w:r>
      <w:r w:rsidR="00225135">
        <w:t xml:space="preserve"> </w:t>
      </w:r>
      <w:r w:rsidR="00D670C2">
        <w:t xml:space="preserve">balance </w:t>
      </w:r>
      <w:r w:rsidR="008079E1">
        <w:t xml:space="preserve">at the year end </w:t>
      </w:r>
      <w:r w:rsidR="00225135">
        <w:t>between:</w:t>
      </w:r>
    </w:p>
    <w:p w14:paraId="5402F99F" w14:textId="77777777" w:rsidR="00225135" w:rsidRDefault="00B24E4C" w:rsidP="00225135">
      <w:pPr>
        <w:pStyle w:val="ListParagraph"/>
        <w:numPr>
          <w:ilvl w:val="0"/>
          <w:numId w:val="35"/>
        </w:numPr>
        <w:spacing w:before="120" w:after="120"/>
      </w:pPr>
      <w:r>
        <w:t>equal pay</w:t>
      </w:r>
    </w:p>
    <w:p w14:paraId="653F3FE0" w14:textId="2FC73377" w:rsidR="00B24E4C" w:rsidRDefault="00B24E4C" w:rsidP="00225135">
      <w:pPr>
        <w:pStyle w:val="ListParagraph"/>
        <w:numPr>
          <w:ilvl w:val="0"/>
          <w:numId w:val="35"/>
        </w:numPr>
        <w:spacing w:before="120" w:after="120"/>
      </w:pPr>
      <w:r>
        <w:t xml:space="preserve">untaken holiday. </w:t>
      </w:r>
    </w:p>
    <w:p w14:paraId="468256AE" w14:textId="77777777" w:rsidR="00B24E4C" w:rsidRPr="00831652" w:rsidRDefault="00A81074" w:rsidP="001C74D4">
      <w:pPr>
        <w:pStyle w:val="Subtitle"/>
        <w:spacing w:before="120" w:after="120"/>
        <w:rPr>
          <w:rFonts w:ascii="Verdana" w:hAnsi="Verdana"/>
          <w:b/>
          <w:color w:val="auto"/>
          <w:sz w:val="20"/>
          <w:szCs w:val="20"/>
        </w:rPr>
      </w:pPr>
      <w:r w:rsidRPr="00831652">
        <w:rPr>
          <w:rFonts w:ascii="Verdana" w:hAnsi="Verdana"/>
          <w:b/>
          <w:color w:val="auto"/>
          <w:sz w:val="20"/>
          <w:szCs w:val="20"/>
        </w:rPr>
        <w:t>Disclosure of a</w:t>
      </w:r>
      <w:r w:rsidR="00B24E4C" w:rsidRPr="00831652">
        <w:rPr>
          <w:rFonts w:ascii="Verdana" w:hAnsi="Verdana"/>
          <w:b/>
          <w:color w:val="auto"/>
          <w:sz w:val="20"/>
          <w:szCs w:val="20"/>
        </w:rPr>
        <w:t xml:space="preserve">nalysis of the Capital Grants and Receipts Unapplied Account </w:t>
      </w:r>
    </w:p>
    <w:p w14:paraId="1144370B" w14:textId="4A6D0366" w:rsidR="00B24E4C" w:rsidRDefault="00B617D3" w:rsidP="004303AD">
      <w:pPr>
        <w:pStyle w:val="ListParagraph"/>
        <w:numPr>
          <w:ilvl w:val="0"/>
          <w:numId w:val="15"/>
        </w:numPr>
        <w:spacing w:before="120" w:after="120"/>
      </w:pPr>
      <w:hyperlink r:id="rId46" w:history="1">
        <w:r w:rsidR="00225135" w:rsidRPr="00225135">
          <w:rPr>
            <w:rStyle w:val="Hyperlink"/>
          </w:rPr>
          <w:t>Finance Circular 1/2019</w:t>
        </w:r>
      </w:hyperlink>
      <w:r w:rsidR="00225135">
        <w:t xml:space="preserve"> </w:t>
      </w:r>
      <w:r w:rsidR="00B24E4C">
        <w:t xml:space="preserve">and </w:t>
      </w:r>
      <w:hyperlink r:id="rId47" w:history="1">
        <w:r w:rsidR="00B24E4C" w:rsidRPr="00B41926">
          <w:rPr>
            <w:rStyle w:val="Hyperlink"/>
          </w:rPr>
          <w:t>4/2019</w:t>
        </w:r>
      </w:hyperlink>
      <w:r w:rsidR="00B24E4C">
        <w:t xml:space="preserve"> require </w:t>
      </w:r>
      <w:r w:rsidR="008E19E1" w:rsidRPr="008E19E1">
        <w:t xml:space="preserve">local authorities to disclose in the notes </w:t>
      </w:r>
      <w:r w:rsidR="00B24E4C">
        <w:t xml:space="preserve">an analysis of the Capital Grants and Receipts Unapplied Account </w:t>
      </w:r>
      <w:r w:rsidR="00D670C2">
        <w:t xml:space="preserve">balance at the year end </w:t>
      </w:r>
      <w:r w:rsidR="00B24E4C">
        <w:t>between:</w:t>
      </w:r>
    </w:p>
    <w:p w14:paraId="01004EB5" w14:textId="77777777" w:rsidR="00B24E4C" w:rsidRDefault="00B24E4C" w:rsidP="00C00819">
      <w:pPr>
        <w:pStyle w:val="ListParagraph"/>
        <w:numPr>
          <w:ilvl w:val="0"/>
          <w:numId w:val="36"/>
        </w:numPr>
        <w:spacing w:before="120" w:after="120"/>
      </w:pPr>
      <w:r>
        <w:t>capital grant</w:t>
      </w:r>
    </w:p>
    <w:p w14:paraId="03D82197" w14:textId="435722A7" w:rsidR="00B24E4C" w:rsidRDefault="00D4638C" w:rsidP="00C00819">
      <w:pPr>
        <w:pStyle w:val="ListParagraph"/>
        <w:numPr>
          <w:ilvl w:val="0"/>
          <w:numId w:val="36"/>
        </w:numPr>
        <w:spacing w:before="120" w:after="120"/>
      </w:pPr>
      <w:r>
        <w:t xml:space="preserve">capital receipts held for </w:t>
      </w:r>
      <w:r w:rsidR="00B24E4C">
        <w:t>equal pay</w:t>
      </w:r>
    </w:p>
    <w:p w14:paraId="158D5B4D" w14:textId="356B7D23" w:rsidR="0005708A" w:rsidRDefault="00D4638C" w:rsidP="00C00819">
      <w:pPr>
        <w:pStyle w:val="ListParagraph"/>
        <w:numPr>
          <w:ilvl w:val="0"/>
          <w:numId w:val="36"/>
        </w:numPr>
        <w:spacing w:before="120" w:after="120"/>
      </w:pPr>
      <w:r>
        <w:t xml:space="preserve">capital receipts held for </w:t>
      </w:r>
      <w:r w:rsidR="00B24E4C">
        <w:t>transformation projects.</w:t>
      </w:r>
    </w:p>
    <w:p w14:paraId="2838F449" w14:textId="444D0C86" w:rsidR="00A66610" w:rsidRPr="00831652" w:rsidRDefault="00A66610" w:rsidP="00A66610">
      <w:pPr>
        <w:pStyle w:val="Subtitle"/>
        <w:spacing w:before="120" w:after="120"/>
        <w:rPr>
          <w:rFonts w:ascii="Verdana" w:hAnsi="Verdana"/>
          <w:b/>
          <w:color w:val="auto"/>
          <w:sz w:val="20"/>
          <w:szCs w:val="20"/>
        </w:rPr>
      </w:pPr>
      <w:r w:rsidRPr="00831652">
        <w:rPr>
          <w:rFonts w:ascii="Verdana" w:hAnsi="Verdana"/>
          <w:b/>
          <w:color w:val="auto"/>
          <w:sz w:val="20"/>
          <w:szCs w:val="20"/>
        </w:rPr>
        <w:t>Disclosure of analysis of the Financial Instruments Adjustment Account</w:t>
      </w:r>
    </w:p>
    <w:p w14:paraId="2C0049A5" w14:textId="47779D5E" w:rsidR="00A66610" w:rsidRDefault="00B617D3" w:rsidP="00A66610">
      <w:pPr>
        <w:pStyle w:val="ListParagraph"/>
        <w:numPr>
          <w:ilvl w:val="0"/>
          <w:numId w:val="15"/>
        </w:numPr>
        <w:spacing w:before="120" w:after="120"/>
      </w:pPr>
      <w:hyperlink r:id="rId48" w:history="1">
        <w:r w:rsidR="00A66610">
          <w:rPr>
            <w:rStyle w:val="Hyperlink"/>
          </w:rPr>
          <w:t xml:space="preserve">Finance Circular 7/2018 </w:t>
        </w:r>
      </w:hyperlink>
      <w:r w:rsidR="00A66610">
        <w:rPr>
          <w:rStyle w:val="Hyperlink"/>
        </w:rPr>
        <w:t xml:space="preserve">requires </w:t>
      </w:r>
      <w:r w:rsidR="00A66610" w:rsidRPr="008E19E1">
        <w:t xml:space="preserve">local authorities to </w:t>
      </w:r>
      <w:r w:rsidR="008105AE">
        <w:t xml:space="preserve">make </w:t>
      </w:r>
      <w:r w:rsidR="00A66610" w:rsidRPr="008E19E1">
        <w:t>disclos</w:t>
      </w:r>
      <w:r w:rsidR="008105AE">
        <w:t xml:space="preserve">ures relating to </w:t>
      </w:r>
      <w:r w:rsidR="00A66610">
        <w:t>the Financial Instruments Adjustment Account (FIAA)</w:t>
      </w:r>
      <w:r w:rsidR="008105AE">
        <w:t>.</w:t>
      </w:r>
      <w:r w:rsidR="00A66610">
        <w:t xml:space="preserve"> </w:t>
      </w:r>
      <w:r w:rsidR="008105AE">
        <w:t>Disclosure is required of the</w:t>
      </w:r>
      <w:r w:rsidR="00A66610">
        <w:t xml:space="preserve"> opening and closing sub-</w:t>
      </w:r>
      <w:r w:rsidR="008105AE">
        <w:t>balances</w:t>
      </w:r>
      <w:r w:rsidR="00A66610">
        <w:t xml:space="preserve"> related to:</w:t>
      </w:r>
    </w:p>
    <w:p w14:paraId="064CD685" w14:textId="52C47B33" w:rsidR="00A66610" w:rsidRDefault="00A66610" w:rsidP="00831652">
      <w:pPr>
        <w:pStyle w:val="ListParagraph"/>
        <w:numPr>
          <w:ilvl w:val="0"/>
          <w:numId w:val="40"/>
        </w:numPr>
        <w:jc w:val="both"/>
      </w:pPr>
      <w:r w:rsidRPr="00A66610">
        <w:t>premiums and discounts associated with the refinancing of loans</w:t>
      </w:r>
    </w:p>
    <w:p w14:paraId="766B5CCD" w14:textId="77777777" w:rsidR="00A66610" w:rsidRPr="00A66610" w:rsidRDefault="00A66610" w:rsidP="00831652">
      <w:pPr>
        <w:pStyle w:val="ListParagraph"/>
        <w:ind w:left="2160"/>
        <w:jc w:val="both"/>
      </w:pPr>
    </w:p>
    <w:p w14:paraId="4CCE5B4C" w14:textId="1B01A052" w:rsidR="00A66610" w:rsidRPr="00A66610" w:rsidRDefault="00A66610" w:rsidP="00831652">
      <w:pPr>
        <w:pStyle w:val="ListParagraph"/>
        <w:numPr>
          <w:ilvl w:val="0"/>
          <w:numId w:val="40"/>
        </w:numPr>
        <w:jc w:val="both"/>
      </w:pPr>
      <w:r w:rsidRPr="00A66610">
        <w:t>loans to third parties granted at less than market interest rates</w:t>
      </w:r>
    </w:p>
    <w:p w14:paraId="0FD4237B" w14:textId="77777777" w:rsidR="00A66610" w:rsidRDefault="00A66610" w:rsidP="00831652">
      <w:pPr>
        <w:pStyle w:val="ListParagraph"/>
        <w:ind w:left="2160"/>
        <w:jc w:val="both"/>
      </w:pPr>
    </w:p>
    <w:p w14:paraId="2391482E" w14:textId="38597C6C" w:rsidR="00A66610" w:rsidRPr="00A66610" w:rsidRDefault="00A66610" w:rsidP="0052410F">
      <w:pPr>
        <w:pStyle w:val="ListParagraph"/>
        <w:numPr>
          <w:ilvl w:val="0"/>
          <w:numId w:val="40"/>
        </w:numPr>
        <w:spacing w:after="120"/>
        <w:ind w:left="2154" w:hanging="357"/>
        <w:jc w:val="both"/>
      </w:pPr>
      <w:r w:rsidRPr="00A66610">
        <w:t>borrowing where the loan is a stepped interest rate loan.</w:t>
      </w:r>
    </w:p>
    <w:p w14:paraId="178AD0D3" w14:textId="4C85D581" w:rsidR="00A66610" w:rsidRPr="00A66610" w:rsidRDefault="00A66610" w:rsidP="0052410F">
      <w:pPr>
        <w:ind w:left="426"/>
        <w:jc w:val="both"/>
        <w:rPr>
          <w:rFonts w:ascii="Verdana" w:hAnsi="Verdana"/>
          <w:sz w:val="22"/>
          <w:szCs w:val="22"/>
          <w:lang w:eastAsia="en-GB"/>
        </w:rPr>
      </w:pPr>
      <w:r w:rsidRPr="00A66610">
        <w:rPr>
          <w:rFonts w:ascii="Verdana" w:hAnsi="Verdana"/>
          <w:sz w:val="22"/>
          <w:szCs w:val="22"/>
          <w:lang w:eastAsia="en-GB"/>
        </w:rPr>
        <w:t xml:space="preserve">If </w:t>
      </w:r>
      <w:r>
        <w:rPr>
          <w:rFonts w:ascii="Verdana" w:hAnsi="Verdana"/>
          <w:sz w:val="22"/>
          <w:szCs w:val="22"/>
          <w:lang w:eastAsia="en-GB"/>
        </w:rPr>
        <w:t xml:space="preserve">the </w:t>
      </w:r>
      <w:r w:rsidRPr="00A66610">
        <w:rPr>
          <w:rFonts w:ascii="Verdana" w:hAnsi="Verdana"/>
          <w:sz w:val="22"/>
          <w:szCs w:val="22"/>
          <w:lang w:eastAsia="en-GB"/>
        </w:rPr>
        <w:t>FIAA balance is only deferred premiums and discounts no analysis</w:t>
      </w:r>
      <w:r>
        <w:rPr>
          <w:rFonts w:ascii="Verdana" w:hAnsi="Verdana"/>
          <w:sz w:val="22"/>
          <w:szCs w:val="22"/>
          <w:lang w:eastAsia="en-GB"/>
        </w:rPr>
        <w:t xml:space="preserve"> is required</w:t>
      </w:r>
      <w:r w:rsidRPr="00A66610">
        <w:rPr>
          <w:rFonts w:ascii="Verdana" w:hAnsi="Verdana"/>
          <w:sz w:val="22"/>
          <w:szCs w:val="22"/>
          <w:lang w:eastAsia="en-GB"/>
        </w:rPr>
        <w:t xml:space="preserve">, but </w:t>
      </w:r>
      <w:r>
        <w:rPr>
          <w:rFonts w:ascii="Verdana" w:hAnsi="Verdana"/>
          <w:sz w:val="22"/>
          <w:szCs w:val="22"/>
          <w:lang w:eastAsia="en-GB"/>
        </w:rPr>
        <w:t>an explanation must be provided that i</w:t>
      </w:r>
      <w:r w:rsidRPr="00A66610">
        <w:rPr>
          <w:rFonts w:ascii="Verdana" w:hAnsi="Verdana"/>
          <w:sz w:val="22"/>
          <w:szCs w:val="22"/>
          <w:lang w:eastAsia="en-GB"/>
        </w:rPr>
        <w:t xml:space="preserve">t </w:t>
      </w:r>
      <w:r>
        <w:rPr>
          <w:rFonts w:ascii="Verdana" w:hAnsi="Verdana"/>
          <w:sz w:val="22"/>
          <w:szCs w:val="22"/>
          <w:lang w:eastAsia="en-GB"/>
        </w:rPr>
        <w:t xml:space="preserve">only </w:t>
      </w:r>
      <w:r w:rsidRPr="00A66610">
        <w:rPr>
          <w:rFonts w:ascii="Verdana" w:hAnsi="Verdana"/>
          <w:sz w:val="22"/>
          <w:szCs w:val="22"/>
          <w:lang w:eastAsia="en-GB"/>
        </w:rPr>
        <w:t>holds premiums and discounts from the refinancing of debt which statutory guidance allows to be deferred, and which are recharged to revenue over a longer period than permitted by accounting standards.</w:t>
      </w:r>
    </w:p>
    <w:p w14:paraId="023B05D6" w14:textId="77777777" w:rsidR="00F64A34" w:rsidRPr="0025229C" w:rsidRDefault="00F64A34">
      <w:pPr>
        <w:rPr>
          <w:rFonts w:ascii="Verdana" w:hAnsi="Verdana"/>
          <w:b/>
          <w:sz w:val="20"/>
          <w:szCs w:val="20"/>
        </w:rPr>
      </w:pPr>
      <w:r w:rsidRPr="0025229C">
        <w:rPr>
          <w:rFonts w:ascii="Verdana" w:hAnsi="Verdana"/>
          <w:b/>
          <w:sz w:val="20"/>
          <w:szCs w:val="20"/>
        </w:rPr>
        <w:lastRenderedPageBreak/>
        <w:t>Appendix 1</w:t>
      </w:r>
    </w:p>
    <w:p w14:paraId="2FD7DA6A" w14:textId="77777777" w:rsidR="00F64A34" w:rsidRPr="0025229C" w:rsidRDefault="00F64A34">
      <w:pPr>
        <w:rPr>
          <w:rFonts w:ascii="Verdana" w:hAnsi="Verdana"/>
          <w:b/>
          <w:sz w:val="20"/>
          <w:szCs w:val="20"/>
        </w:rPr>
      </w:pPr>
    </w:p>
    <w:p w14:paraId="676C9313" w14:textId="77777777" w:rsidR="009D017F" w:rsidRPr="0025229C" w:rsidRDefault="00F64A34">
      <w:pPr>
        <w:rPr>
          <w:rFonts w:ascii="Verdana" w:hAnsi="Verdana"/>
          <w:b/>
          <w:sz w:val="20"/>
          <w:szCs w:val="20"/>
        </w:rPr>
      </w:pPr>
      <w:r w:rsidRPr="0025229C">
        <w:rPr>
          <w:rFonts w:ascii="Verdana" w:hAnsi="Verdana"/>
          <w:b/>
          <w:sz w:val="20"/>
          <w:szCs w:val="20"/>
        </w:rPr>
        <w:t xml:space="preserve">Illustrative disclosure </w:t>
      </w:r>
    </w:p>
    <w:p w14:paraId="530FF61E" w14:textId="77777777" w:rsidR="009D017F" w:rsidRPr="0025229C" w:rsidRDefault="009D017F">
      <w:pPr>
        <w:rPr>
          <w:rFonts w:ascii="Verdana" w:hAnsi="Verdana"/>
          <w:b/>
          <w:sz w:val="20"/>
          <w:szCs w:val="20"/>
        </w:rPr>
      </w:pPr>
    </w:p>
    <w:p w14:paraId="3F6A7F68" w14:textId="0A36DD53" w:rsidR="0009098C" w:rsidRPr="0025229C" w:rsidRDefault="00F64A34">
      <w:pPr>
        <w:rPr>
          <w:rFonts w:ascii="Verdana" w:hAnsi="Verdana"/>
          <w:sz w:val="20"/>
          <w:szCs w:val="20"/>
        </w:rPr>
      </w:pPr>
      <w:r w:rsidRPr="0025229C">
        <w:rPr>
          <w:rFonts w:ascii="Verdana" w:hAnsi="Verdana"/>
          <w:sz w:val="20"/>
          <w:szCs w:val="20"/>
        </w:rPr>
        <w:t xml:space="preserve">EARMARKED ELEMENTS OF GENERAL FUND </w:t>
      </w:r>
    </w:p>
    <w:p w14:paraId="56B5C20E" w14:textId="77777777" w:rsidR="0009098C" w:rsidRPr="0025229C" w:rsidRDefault="0009098C">
      <w:pPr>
        <w:rPr>
          <w:rFonts w:ascii="Verdana" w:hAnsi="Verdana"/>
          <w:sz w:val="20"/>
          <w:szCs w:val="20"/>
        </w:rPr>
      </w:pPr>
    </w:p>
    <w:p w14:paraId="2D1FF340" w14:textId="77777777" w:rsidR="0009098C" w:rsidRPr="0025229C" w:rsidRDefault="00F64A34">
      <w:pPr>
        <w:rPr>
          <w:rFonts w:ascii="Verdana" w:hAnsi="Verdana"/>
          <w:sz w:val="20"/>
          <w:szCs w:val="20"/>
        </w:rPr>
      </w:pPr>
      <w:r w:rsidRPr="0025229C">
        <w:rPr>
          <w:rFonts w:ascii="Verdana" w:hAnsi="Verdana"/>
          <w:sz w:val="20"/>
          <w:szCs w:val="20"/>
        </w:rPr>
        <w:t>This note sets out the amounts earmarked in the General Fund for specific purposes and the movement in those earmarked amounts during the financial year. The General Fund is made up of accumulated surpluses over a number of years, which are reduced when used to fund expenditure that exceeds income for the year, or to reduce Council Tax. Earmarked elements of the General Fund identify future expenditure commitments made for specific projects or services.</w:t>
      </w:r>
    </w:p>
    <w:p w14:paraId="16637416" w14:textId="77777777" w:rsidR="0009098C" w:rsidRPr="0025229C" w:rsidRDefault="0009098C">
      <w:pPr>
        <w:rPr>
          <w:rFonts w:ascii="Verdana" w:hAnsi="Verdana"/>
          <w:sz w:val="20"/>
          <w:szCs w:val="20"/>
        </w:rPr>
      </w:pPr>
    </w:p>
    <w:p w14:paraId="46865E74" w14:textId="77777777" w:rsidR="003C511C" w:rsidRPr="0025229C" w:rsidRDefault="00F64A34">
      <w:pPr>
        <w:rPr>
          <w:rFonts w:ascii="Verdana" w:hAnsi="Verdana"/>
          <w:sz w:val="20"/>
          <w:szCs w:val="20"/>
        </w:rPr>
      </w:pPr>
      <w:r w:rsidRPr="0025229C">
        <w:rPr>
          <w:rFonts w:ascii="Verdana" w:hAnsi="Verdana"/>
          <w:sz w:val="20"/>
          <w:szCs w:val="20"/>
        </w:rPr>
        <w:t xml:space="preserve">In addition, the General Fund is also earmarked to identify an element of the balance that is not available to fund the delivery of services. This element represents the difference between the fair value of investments at 31 March 20xx compared with their original cost. This net gain (increases less decreases) is ‘unrealised’ because the underlying investments have not been sold as at 31 March. The amount of the unrealised gain that is earmarked are those gains that are not readily converted to cash, plus those unrealised gains that are readily converted to cash but the authority does not consider it prudent to use to fund services. [Add reference to any debit balance on the financial instruments revaluation reserve (identifying FVOCI only)] </w:t>
      </w:r>
    </w:p>
    <w:p w14:paraId="277C645B" w14:textId="77777777" w:rsidR="003C511C" w:rsidRPr="0025229C" w:rsidRDefault="003C511C">
      <w:pPr>
        <w:rPr>
          <w:rFonts w:ascii="Verdana" w:hAnsi="Verdana"/>
          <w:sz w:val="20"/>
          <w:szCs w:val="20"/>
        </w:rPr>
      </w:pPr>
    </w:p>
    <w:p w14:paraId="53506943" w14:textId="77777777" w:rsidR="003C511C" w:rsidRPr="0025229C" w:rsidRDefault="00F64A34">
      <w:pPr>
        <w:rPr>
          <w:rFonts w:ascii="Verdana" w:hAnsi="Verdana"/>
          <w:sz w:val="20"/>
          <w:szCs w:val="20"/>
        </w:rPr>
      </w:pPr>
      <w:r w:rsidRPr="0025229C">
        <w:rPr>
          <w:rFonts w:ascii="Verdana" w:hAnsi="Verdana"/>
          <w:sz w:val="20"/>
          <w:szCs w:val="20"/>
        </w:rPr>
        <w:t>[Add reference to other unrealised gains recognised in accordance with IFRS 9 (e.g. in respect of recalculating the carrying amount of modified loans i.e. financial liabilities.]</w:t>
      </w:r>
    </w:p>
    <w:p w14:paraId="78AA26F2" w14:textId="77777777" w:rsidR="003C511C" w:rsidRPr="0025229C" w:rsidRDefault="003C511C">
      <w:pPr>
        <w:rPr>
          <w:rFonts w:ascii="Verdana" w:hAnsi="Verdana"/>
          <w:sz w:val="20"/>
          <w:szCs w:val="20"/>
        </w:rPr>
      </w:pPr>
    </w:p>
    <w:p w14:paraId="04681B6E" w14:textId="77777777" w:rsidR="003C511C" w:rsidRPr="0025229C" w:rsidRDefault="00F64A34">
      <w:pPr>
        <w:rPr>
          <w:rFonts w:ascii="Verdana" w:hAnsi="Verdana"/>
          <w:sz w:val="20"/>
          <w:szCs w:val="20"/>
        </w:rPr>
      </w:pPr>
      <w:r w:rsidRPr="0025229C">
        <w:rPr>
          <w:rFonts w:ascii="Verdana" w:hAnsi="Verdana"/>
          <w:sz w:val="20"/>
          <w:szCs w:val="20"/>
        </w:rPr>
        <w:t>The earmarked elements of the General Fund are as follows:</w:t>
      </w:r>
    </w:p>
    <w:p w14:paraId="3E754D57" w14:textId="77777777" w:rsidR="003C511C" w:rsidRPr="0025229C" w:rsidRDefault="003C511C">
      <w:pPr>
        <w:rPr>
          <w:rFonts w:ascii="Verdana" w:hAnsi="Verdana"/>
          <w:sz w:val="20"/>
          <w:szCs w:val="20"/>
        </w:rPr>
      </w:pPr>
    </w:p>
    <w:tbl>
      <w:tblPr>
        <w:tblStyle w:val="TableGrid"/>
        <w:tblW w:w="0" w:type="auto"/>
        <w:tblLook w:val="04A0" w:firstRow="1" w:lastRow="0" w:firstColumn="1" w:lastColumn="0" w:noHBand="0" w:noVBand="1"/>
      </w:tblPr>
      <w:tblGrid>
        <w:gridCol w:w="2265"/>
        <w:gridCol w:w="2265"/>
        <w:gridCol w:w="2266"/>
        <w:gridCol w:w="2266"/>
      </w:tblGrid>
      <w:tr w:rsidR="003761B5" w:rsidRPr="0025229C" w14:paraId="2D08917F" w14:textId="77777777" w:rsidTr="003761B5">
        <w:tc>
          <w:tcPr>
            <w:tcW w:w="2265" w:type="dxa"/>
          </w:tcPr>
          <w:p w14:paraId="1114802C" w14:textId="1C38259B" w:rsidR="003761B5" w:rsidRPr="0025229C" w:rsidRDefault="0039108C">
            <w:pPr>
              <w:rPr>
                <w:rFonts w:ascii="Verdana" w:hAnsi="Verdana"/>
                <w:sz w:val="20"/>
                <w:szCs w:val="20"/>
              </w:rPr>
            </w:pPr>
            <w:r w:rsidRPr="0025229C">
              <w:rPr>
                <w:rFonts w:ascii="Verdana" w:hAnsi="Verdana"/>
                <w:sz w:val="20"/>
                <w:szCs w:val="20"/>
              </w:rPr>
              <w:t>Earmarking</w:t>
            </w:r>
          </w:p>
        </w:tc>
        <w:tc>
          <w:tcPr>
            <w:tcW w:w="2265" w:type="dxa"/>
          </w:tcPr>
          <w:p w14:paraId="5A85D606" w14:textId="0E29E3A4" w:rsidR="003761B5" w:rsidRPr="0025229C" w:rsidRDefault="0039108C">
            <w:pPr>
              <w:rPr>
                <w:rFonts w:ascii="Verdana" w:hAnsi="Verdana"/>
                <w:sz w:val="20"/>
                <w:szCs w:val="20"/>
              </w:rPr>
            </w:pPr>
            <w:r w:rsidRPr="0025229C">
              <w:rPr>
                <w:rFonts w:ascii="Verdana" w:hAnsi="Verdana"/>
                <w:sz w:val="20"/>
                <w:szCs w:val="20"/>
              </w:rPr>
              <w:t>Balance at 1 April 20</w:t>
            </w:r>
            <w:r w:rsidR="008E19E1">
              <w:rPr>
                <w:rFonts w:ascii="Verdana" w:hAnsi="Verdana"/>
                <w:sz w:val="20"/>
                <w:szCs w:val="20"/>
              </w:rPr>
              <w:t>x</w:t>
            </w:r>
            <w:r w:rsidRPr="0025229C">
              <w:rPr>
                <w:rFonts w:ascii="Verdana" w:hAnsi="Verdana"/>
                <w:sz w:val="20"/>
                <w:szCs w:val="20"/>
              </w:rPr>
              <w:t>x</w:t>
            </w:r>
          </w:p>
        </w:tc>
        <w:tc>
          <w:tcPr>
            <w:tcW w:w="2266" w:type="dxa"/>
          </w:tcPr>
          <w:p w14:paraId="5B708D4D" w14:textId="4617A806" w:rsidR="003761B5" w:rsidRPr="0025229C" w:rsidRDefault="0039108C">
            <w:pPr>
              <w:rPr>
                <w:rFonts w:ascii="Verdana" w:hAnsi="Verdana"/>
                <w:sz w:val="20"/>
                <w:szCs w:val="20"/>
              </w:rPr>
            </w:pPr>
            <w:r w:rsidRPr="0025229C">
              <w:rPr>
                <w:rFonts w:ascii="Verdana" w:hAnsi="Verdana"/>
                <w:sz w:val="20"/>
                <w:szCs w:val="20"/>
              </w:rPr>
              <w:t xml:space="preserve">Movement in year </w:t>
            </w:r>
          </w:p>
        </w:tc>
        <w:tc>
          <w:tcPr>
            <w:tcW w:w="2266" w:type="dxa"/>
          </w:tcPr>
          <w:p w14:paraId="07E9BD1C" w14:textId="688411EB" w:rsidR="003761B5" w:rsidRPr="0025229C" w:rsidRDefault="008E19E1">
            <w:pPr>
              <w:rPr>
                <w:rFonts w:ascii="Verdana" w:hAnsi="Verdana"/>
                <w:sz w:val="20"/>
                <w:szCs w:val="20"/>
              </w:rPr>
            </w:pPr>
            <w:r w:rsidRPr="008E19E1">
              <w:rPr>
                <w:rFonts w:ascii="Verdana" w:hAnsi="Verdana"/>
                <w:sz w:val="20"/>
                <w:szCs w:val="20"/>
              </w:rPr>
              <w:t>Balance at 31 March 20</w:t>
            </w:r>
            <w:r>
              <w:rPr>
                <w:rFonts w:ascii="Verdana" w:hAnsi="Verdana"/>
                <w:sz w:val="20"/>
                <w:szCs w:val="20"/>
              </w:rPr>
              <w:t>x</w:t>
            </w:r>
            <w:r w:rsidRPr="008E19E1">
              <w:rPr>
                <w:rFonts w:ascii="Verdana" w:hAnsi="Verdana"/>
                <w:sz w:val="20"/>
                <w:szCs w:val="20"/>
              </w:rPr>
              <w:t>x</w:t>
            </w:r>
          </w:p>
        </w:tc>
      </w:tr>
      <w:tr w:rsidR="003761B5" w:rsidRPr="0025229C" w14:paraId="310BDB21" w14:textId="77777777" w:rsidTr="003761B5">
        <w:tc>
          <w:tcPr>
            <w:tcW w:w="2265" w:type="dxa"/>
          </w:tcPr>
          <w:p w14:paraId="3CC28310" w14:textId="11E8A024" w:rsidR="003761B5" w:rsidRPr="0025229C" w:rsidRDefault="0039108C">
            <w:pPr>
              <w:rPr>
                <w:rFonts w:ascii="Verdana" w:hAnsi="Verdana"/>
                <w:sz w:val="20"/>
                <w:szCs w:val="20"/>
              </w:rPr>
            </w:pPr>
            <w:r w:rsidRPr="0025229C">
              <w:rPr>
                <w:rFonts w:ascii="Verdana" w:hAnsi="Verdana"/>
                <w:sz w:val="20"/>
                <w:szCs w:val="20"/>
              </w:rPr>
              <w:t>Earmarking 1</w:t>
            </w:r>
          </w:p>
        </w:tc>
        <w:tc>
          <w:tcPr>
            <w:tcW w:w="2265" w:type="dxa"/>
          </w:tcPr>
          <w:p w14:paraId="0D2AD30F" w14:textId="77777777" w:rsidR="003761B5" w:rsidRPr="0025229C" w:rsidRDefault="003761B5">
            <w:pPr>
              <w:rPr>
                <w:rFonts w:ascii="Verdana" w:hAnsi="Verdana"/>
                <w:sz w:val="20"/>
                <w:szCs w:val="20"/>
              </w:rPr>
            </w:pPr>
          </w:p>
        </w:tc>
        <w:tc>
          <w:tcPr>
            <w:tcW w:w="2266" w:type="dxa"/>
          </w:tcPr>
          <w:p w14:paraId="3EEF9C8C" w14:textId="77777777" w:rsidR="003761B5" w:rsidRPr="0025229C" w:rsidRDefault="003761B5">
            <w:pPr>
              <w:rPr>
                <w:rFonts w:ascii="Verdana" w:hAnsi="Verdana"/>
                <w:sz w:val="20"/>
                <w:szCs w:val="20"/>
              </w:rPr>
            </w:pPr>
          </w:p>
        </w:tc>
        <w:tc>
          <w:tcPr>
            <w:tcW w:w="2266" w:type="dxa"/>
          </w:tcPr>
          <w:p w14:paraId="0955863F" w14:textId="77777777" w:rsidR="003761B5" w:rsidRPr="0025229C" w:rsidRDefault="003761B5">
            <w:pPr>
              <w:rPr>
                <w:rFonts w:ascii="Verdana" w:hAnsi="Verdana"/>
                <w:sz w:val="20"/>
                <w:szCs w:val="20"/>
              </w:rPr>
            </w:pPr>
          </w:p>
        </w:tc>
      </w:tr>
      <w:tr w:rsidR="003761B5" w:rsidRPr="0025229C" w14:paraId="22BC9528" w14:textId="77777777" w:rsidTr="003761B5">
        <w:tc>
          <w:tcPr>
            <w:tcW w:w="2265" w:type="dxa"/>
          </w:tcPr>
          <w:p w14:paraId="2EE25C54" w14:textId="07442B1C" w:rsidR="003761B5" w:rsidRPr="0025229C" w:rsidRDefault="0039108C">
            <w:pPr>
              <w:rPr>
                <w:rFonts w:ascii="Verdana" w:hAnsi="Verdana"/>
                <w:sz w:val="20"/>
                <w:szCs w:val="20"/>
              </w:rPr>
            </w:pPr>
            <w:r w:rsidRPr="0025229C">
              <w:rPr>
                <w:rFonts w:ascii="Verdana" w:hAnsi="Verdana"/>
                <w:sz w:val="20"/>
                <w:szCs w:val="20"/>
              </w:rPr>
              <w:t>Earmarking 2 etc</w:t>
            </w:r>
          </w:p>
        </w:tc>
        <w:tc>
          <w:tcPr>
            <w:tcW w:w="2265" w:type="dxa"/>
          </w:tcPr>
          <w:p w14:paraId="3CFCC61A" w14:textId="77777777" w:rsidR="003761B5" w:rsidRPr="0025229C" w:rsidRDefault="003761B5">
            <w:pPr>
              <w:rPr>
                <w:rFonts w:ascii="Verdana" w:hAnsi="Verdana"/>
                <w:sz w:val="20"/>
                <w:szCs w:val="20"/>
              </w:rPr>
            </w:pPr>
          </w:p>
        </w:tc>
        <w:tc>
          <w:tcPr>
            <w:tcW w:w="2266" w:type="dxa"/>
          </w:tcPr>
          <w:p w14:paraId="4848A724" w14:textId="77777777" w:rsidR="003761B5" w:rsidRPr="0025229C" w:rsidRDefault="003761B5">
            <w:pPr>
              <w:rPr>
                <w:rFonts w:ascii="Verdana" w:hAnsi="Verdana"/>
                <w:sz w:val="20"/>
                <w:szCs w:val="20"/>
              </w:rPr>
            </w:pPr>
          </w:p>
        </w:tc>
        <w:tc>
          <w:tcPr>
            <w:tcW w:w="2266" w:type="dxa"/>
          </w:tcPr>
          <w:p w14:paraId="2640E5CC" w14:textId="77777777" w:rsidR="003761B5" w:rsidRPr="0025229C" w:rsidRDefault="003761B5">
            <w:pPr>
              <w:rPr>
                <w:rFonts w:ascii="Verdana" w:hAnsi="Verdana"/>
                <w:sz w:val="20"/>
                <w:szCs w:val="20"/>
              </w:rPr>
            </w:pPr>
          </w:p>
        </w:tc>
      </w:tr>
      <w:tr w:rsidR="003761B5" w:rsidRPr="0025229C" w14:paraId="7FDA87B2" w14:textId="77777777" w:rsidTr="003761B5">
        <w:tc>
          <w:tcPr>
            <w:tcW w:w="2265" w:type="dxa"/>
          </w:tcPr>
          <w:p w14:paraId="37B2F566" w14:textId="325BB7E9" w:rsidR="003761B5" w:rsidRPr="0025229C" w:rsidRDefault="0039108C">
            <w:pPr>
              <w:rPr>
                <w:rFonts w:ascii="Verdana" w:hAnsi="Verdana"/>
                <w:sz w:val="20"/>
                <w:szCs w:val="20"/>
              </w:rPr>
            </w:pPr>
            <w:r w:rsidRPr="0025229C">
              <w:rPr>
                <w:rFonts w:ascii="Verdana" w:hAnsi="Verdana"/>
                <w:sz w:val="20"/>
                <w:szCs w:val="20"/>
              </w:rPr>
              <w:t>Unrealised investment gains</w:t>
            </w:r>
          </w:p>
        </w:tc>
        <w:tc>
          <w:tcPr>
            <w:tcW w:w="2265" w:type="dxa"/>
          </w:tcPr>
          <w:p w14:paraId="677D2A09" w14:textId="77777777" w:rsidR="003761B5" w:rsidRPr="0025229C" w:rsidRDefault="003761B5">
            <w:pPr>
              <w:rPr>
                <w:rFonts w:ascii="Verdana" w:hAnsi="Verdana"/>
                <w:sz w:val="20"/>
                <w:szCs w:val="20"/>
              </w:rPr>
            </w:pPr>
          </w:p>
        </w:tc>
        <w:tc>
          <w:tcPr>
            <w:tcW w:w="2266" w:type="dxa"/>
          </w:tcPr>
          <w:p w14:paraId="47C28F42" w14:textId="77777777" w:rsidR="003761B5" w:rsidRPr="0025229C" w:rsidRDefault="003761B5">
            <w:pPr>
              <w:rPr>
                <w:rFonts w:ascii="Verdana" w:hAnsi="Verdana"/>
                <w:sz w:val="20"/>
                <w:szCs w:val="20"/>
              </w:rPr>
            </w:pPr>
          </w:p>
        </w:tc>
        <w:tc>
          <w:tcPr>
            <w:tcW w:w="2266" w:type="dxa"/>
          </w:tcPr>
          <w:p w14:paraId="0DFEB7B6" w14:textId="77777777" w:rsidR="003761B5" w:rsidRPr="0025229C" w:rsidRDefault="003761B5">
            <w:pPr>
              <w:rPr>
                <w:rFonts w:ascii="Verdana" w:hAnsi="Verdana"/>
                <w:sz w:val="20"/>
                <w:szCs w:val="20"/>
              </w:rPr>
            </w:pPr>
          </w:p>
        </w:tc>
      </w:tr>
      <w:tr w:rsidR="003761B5" w:rsidRPr="0025229C" w14:paraId="0EF8E4F7" w14:textId="77777777" w:rsidTr="003761B5">
        <w:tc>
          <w:tcPr>
            <w:tcW w:w="2265" w:type="dxa"/>
          </w:tcPr>
          <w:p w14:paraId="7D94BBE9" w14:textId="086F3168" w:rsidR="003761B5" w:rsidRPr="0025229C" w:rsidRDefault="0039108C">
            <w:pPr>
              <w:rPr>
                <w:rFonts w:ascii="Verdana" w:hAnsi="Verdana"/>
                <w:sz w:val="20"/>
                <w:szCs w:val="20"/>
              </w:rPr>
            </w:pPr>
            <w:r w:rsidRPr="0025229C">
              <w:rPr>
                <w:rFonts w:ascii="Verdana" w:hAnsi="Verdana"/>
                <w:sz w:val="20"/>
                <w:szCs w:val="20"/>
              </w:rPr>
              <w:t>Unallocated</w:t>
            </w:r>
          </w:p>
        </w:tc>
        <w:tc>
          <w:tcPr>
            <w:tcW w:w="2265" w:type="dxa"/>
          </w:tcPr>
          <w:p w14:paraId="4DF9CA69" w14:textId="77777777" w:rsidR="003761B5" w:rsidRPr="0025229C" w:rsidRDefault="003761B5">
            <w:pPr>
              <w:rPr>
                <w:rFonts w:ascii="Verdana" w:hAnsi="Verdana"/>
                <w:sz w:val="20"/>
                <w:szCs w:val="20"/>
              </w:rPr>
            </w:pPr>
          </w:p>
        </w:tc>
        <w:tc>
          <w:tcPr>
            <w:tcW w:w="2266" w:type="dxa"/>
          </w:tcPr>
          <w:p w14:paraId="02D70639" w14:textId="77777777" w:rsidR="003761B5" w:rsidRPr="0025229C" w:rsidRDefault="003761B5">
            <w:pPr>
              <w:rPr>
                <w:rFonts w:ascii="Verdana" w:hAnsi="Verdana"/>
                <w:sz w:val="20"/>
                <w:szCs w:val="20"/>
              </w:rPr>
            </w:pPr>
          </w:p>
        </w:tc>
        <w:tc>
          <w:tcPr>
            <w:tcW w:w="2266" w:type="dxa"/>
          </w:tcPr>
          <w:p w14:paraId="0E1677A6" w14:textId="77777777" w:rsidR="003761B5" w:rsidRPr="0025229C" w:rsidRDefault="003761B5">
            <w:pPr>
              <w:rPr>
                <w:rFonts w:ascii="Verdana" w:hAnsi="Verdana"/>
                <w:sz w:val="20"/>
                <w:szCs w:val="20"/>
              </w:rPr>
            </w:pPr>
          </w:p>
        </w:tc>
      </w:tr>
      <w:tr w:rsidR="003761B5" w:rsidRPr="0025229C" w14:paraId="6EA0C69E" w14:textId="77777777" w:rsidTr="003761B5">
        <w:tc>
          <w:tcPr>
            <w:tcW w:w="2265" w:type="dxa"/>
          </w:tcPr>
          <w:p w14:paraId="7D74910C" w14:textId="2875DBA5" w:rsidR="003761B5" w:rsidRPr="0025229C" w:rsidRDefault="0039108C">
            <w:pPr>
              <w:rPr>
                <w:rFonts w:ascii="Verdana" w:hAnsi="Verdana"/>
                <w:sz w:val="20"/>
                <w:szCs w:val="20"/>
              </w:rPr>
            </w:pPr>
            <w:r w:rsidRPr="0025229C">
              <w:rPr>
                <w:rFonts w:ascii="Verdana" w:hAnsi="Verdana"/>
                <w:sz w:val="20"/>
                <w:szCs w:val="20"/>
              </w:rPr>
              <w:t>TOTAL</w:t>
            </w:r>
          </w:p>
        </w:tc>
        <w:tc>
          <w:tcPr>
            <w:tcW w:w="2265" w:type="dxa"/>
          </w:tcPr>
          <w:p w14:paraId="7BED77D6" w14:textId="77777777" w:rsidR="003761B5" w:rsidRPr="0025229C" w:rsidRDefault="003761B5">
            <w:pPr>
              <w:rPr>
                <w:rFonts w:ascii="Verdana" w:hAnsi="Verdana"/>
                <w:sz w:val="20"/>
                <w:szCs w:val="20"/>
              </w:rPr>
            </w:pPr>
          </w:p>
        </w:tc>
        <w:tc>
          <w:tcPr>
            <w:tcW w:w="2266" w:type="dxa"/>
          </w:tcPr>
          <w:p w14:paraId="601B3DF5" w14:textId="77777777" w:rsidR="003761B5" w:rsidRPr="0025229C" w:rsidRDefault="003761B5">
            <w:pPr>
              <w:rPr>
                <w:rFonts w:ascii="Verdana" w:hAnsi="Verdana"/>
                <w:sz w:val="20"/>
                <w:szCs w:val="20"/>
              </w:rPr>
            </w:pPr>
          </w:p>
        </w:tc>
        <w:tc>
          <w:tcPr>
            <w:tcW w:w="2266" w:type="dxa"/>
          </w:tcPr>
          <w:p w14:paraId="1024CB87" w14:textId="77777777" w:rsidR="003761B5" w:rsidRPr="0025229C" w:rsidRDefault="003761B5">
            <w:pPr>
              <w:rPr>
                <w:rFonts w:ascii="Verdana" w:hAnsi="Verdana"/>
                <w:sz w:val="20"/>
                <w:szCs w:val="20"/>
              </w:rPr>
            </w:pPr>
          </w:p>
        </w:tc>
      </w:tr>
    </w:tbl>
    <w:p w14:paraId="5FF4FC89" w14:textId="77777777" w:rsidR="003C511C" w:rsidRPr="0025229C" w:rsidRDefault="003C511C">
      <w:pPr>
        <w:rPr>
          <w:rFonts w:ascii="Verdana" w:hAnsi="Verdana"/>
          <w:sz w:val="20"/>
          <w:szCs w:val="20"/>
        </w:rPr>
      </w:pPr>
    </w:p>
    <w:p w14:paraId="3A8E3B3B" w14:textId="10149A1D" w:rsidR="00A81074" w:rsidRDefault="00A81074"/>
    <w:sectPr w:rsidR="00A81074" w:rsidSect="00D10296">
      <w:headerReference w:type="even" r:id="rId49"/>
      <w:headerReference w:type="default" r:id="rId50"/>
      <w:footerReference w:type="default" r:id="rId51"/>
      <w:headerReference w:type="first" r:id="rId52"/>
      <w:pgSz w:w="11906" w:h="16838"/>
      <w:pgMar w:top="1440" w:right="1416"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6C2A6" w14:textId="77777777" w:rsidR="00E67F69" w:rsidRDefault="00E67F69">
      <w:r>
        <w:separator/>
      </w:r>
    </w:p>
  </w:endnote>
  <w:endnote w:type="continuationSeparator" w:id="0">
    <w:p w14:paraId="5E2BCE0B" w14:textId="77777777" w:rsidR="00E67F69" w:rsidRDefault="00E6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IN-Medium">
    <w:altName w:val="Calibri"/>
    <w:panose1 w:val="00000000000000000000"/>
    <w:charset w:val="00"/>
    <w:family w:val="swiss"/>
    <w:notTrueType/>
    <w:pitch w:val="default"/>
    <w:sig w:usb0="00000003" w:usb1="00000000" w:usb2="00000000" w:usb3="00000000" w:csb0="00000001" w:csb1="00000000"/>
  </w:font>
  <w:font w:name="Avant Garde">
    <w:altName w:val="Century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3634573"/>
      <w:docPartObj>
        <w:docPartGallery w:val="Page Numbers (Bottom of Page)"/>
        <w:docPartUnique/>
      </w:docPartObj>
    </w:sdtPr>
    <w:sdtEndPr>
      <w:rPr>
        <w:noProof/>
      </w:rPr>
    </w:sdtEndPr>
    <w:sdtContent>
      <w:p w14:paraId="3B7985E1" w14:textId="7E1D0155" w:rsidR="00E5691C" w:rsidRDefault="00E5691C">
        <w:pPr>
          <w:pStyle w:val="Footer"/>
          <w:jc w:val="center"/>
        </w:pPr>
        <w:r>
          <w:fldChar w:fldCharType="begin"/>
        </w:r>
        <w:r>
          <w:instrText xml:space="preserve"> PAGE   \* MERGEFORMAT </w:instrText>
        </w:r>
        <w:r>
          <w:fldChar w:fldCharType="separate"/>
        </w:r>
        <w:r w:rsidR="00380A2B">
          <w:rPr>
            <w:noProof/>
          </w:rPr>
          <w:t>16</w:t>
        </w:r>
        <w:r>
          <w:rPr>
            <w:noProof/>
          </w:rPr>
          <w:fldChar w:fldCharType="end"/>
        </w:r>
      </w:p>
    </w:sdtContent>
  </w:sdt>
  <w:p w14:paraId="4011E859" w14:textId="77777777" w:rsidR="00E5691C" w:rsidRDefault="00E5691C">
    <w:pPr>
      <w:pStyle w:val="Footer"/>
      <w:ind w:right="-440"/>
      <w:jc w:val="center"/>
      <w:rPr>
        <w:rFonts w:ascii="Avant Garde" w:hAnsi="Avant Garde"/>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C217D" w14:textId="77777777" w:rsidR="00E67F69" w:rsidRDefault="00E67F69">
      <w:r>
        <w:separator/>
      </w:r>
    </w:p>
  </w:footnote>
  <w:footnote w:type="continuationSeparator" w:id="0">
    <w:p w14:paraId="482D56FD" w14:textId="77777777" w:rsidR="00E67F69" w:rsidRDefault="00E67F69">
      <w:r>
        <w:continuationSeparator/>
      </w:r>
    </w:p>
  </w:footnote>
  <w:footnote w:id="1">
    <w:p w14:paraId="5E5D27CE" w14:textId="15582E76" w:rsidR="00E5691C" w:rsidRDefault="00E5691C">
      <w:pPr>
        <w:pStyle w:val="FootnoteText"/>
      </w:pPr>
      <w:r>
        <w:rPr>
          <w:rStyle w:val="FootnoteReference"/>
        </w:rPr>
        <w:footnoteRef/>
      </w:r>
      <w:r>
        <w:t xml:space="preserve"> See The </w:t>
      </w:r>
      <w:hyperlink r:id="rId1" w:history="1">
        <w:r>
          <w:rPr>
            <w:rStyle w:val="Hyperlink"/>
          </w:rPr>
          <w:t>P</w:t>
        </w:r>
        <w:r w:rsidRPr="00DE6BB1">
          <w:rPr>
            <w:rStyle w:val="Hyperlink"/>
          </w:rPr>
          <w:t>ublic Bodies (Joint Working) Act 2014</w:t>
        </w:r>
      </w:hyperlink>
      <w:r>
        <w:t xml:space="preserve">; subsequent secondary legislation (regulations); relevant IJB establishment orders and current effective Integration Scheme for each partnership. </w:t>
      </w:r>
    </w:p>
  </w:footnote>
  <w:footnote w:id="2">
    <w:p w14:paraId="3AA753A7" w14:textId="255E33D8" w:rsidR="00E5691C" w:rsidRDefault="00E5691C" w:rsidP="00CC0D18">
      <w:pPr>
        <w:pStyle w:val="FootnoteText"/>
      </w:pPr>
      <w:r>
        <w:rPr>
          <w:rStyle w:val="FootnoteReference"/>
        </w:rPr>
        <w:footnoteRef/>
      </w:r>
      <w:r>
        <w:t xml:space="preserve"> See </w:t>
      </w:r>
      <w:hyperlink r:id="rId2" w:history="1">
        <w:r w:rsidRPr="00CC0D18">
          <w:rPr>
            <w:rStyle w:val="Hyperlink"/>
          </w:rPr>
          <w:t>section 35 of the Local Government in Scotland Act 2003</w:t>
        </w:r>
      </w:hyperlink>
      <w:r>
        <w:t xml:space="preserve">; and </w:t>
      </w:r>
      <w:hyperlink r:id="rId3" w:history="1">
        <w:r w:rsidRPr="00CC0D18">
          <w:rPr>
            <w:rStyle w:val="Hyperlink"/>
          </w:rPr>
          <w:t>2004 No. 29 The Local Government Capital Expenditure Limits (Scotland) Regulations 2004, Regulation 2(2)</w:t>
        </w:r>
      </w:hyperlink>
      <w:r>
        <w:t>.</w:t>
      </w:r>
    </w:p>
  </w:footnote>
  <w:footnote w:id="3">
    <w:p w14:paraId="79364214" w14:textId="4D47D238" w:rsidR="00E5691C" w:rsidRDefault="00E5691C">
      <w:pPr>
        <w:pStyle w:val="FootnoteText"/>
      </w:pPr>
      <w:r>
        <w:rPr>
          <w:rStyle w:val="FootnoteReference"/>
        </w:rPr>
        <w:footnoteRef/>
      </w:r>
      <w:r>
        <w:t xml:space="preserve"> Primarily the </w:t>
      </w:r>
      <w:hyperlink r:id="rId4" w:history="1">
        <w:r w:rsidRPr="00F7613B">
          <w:rPr>
            <w:rStyle w:val="Hyperlink"/>
          </w:rPr>
          <w:t>Housing (Scotland) Act 1987</w:t>
        </w:r>
      </w:hyperlink>
      <w:r>
        <w:t xml:space="preserve">. Examples of the distinction drawn between the General Fund, for local taxation purposes, and the HRA balance include </w:t>
      </w:r>
      <w:hyperlink r:id="rId5" w:history="1">
        <w:r w:rsidRPr="00F7613B">
          <w:rPr>
            <w:rStyle w:val="Hyperlink"/>
          </w:rPr>
          <w:t>sections 203 and 204;</w:t>
        </w:r>
      </w:hyperlink>
      <w:r>
        <w:t xml:space="preserve"> </w:t>
      </w:r>
      <w:hyperlink r:id="rId6" w:history="1">
        <w:r w:rsidRPr="00F7613B">
          <w:rPr>
            <w:rStyle w:val="Hyperlink"/>
          </w:rPr>
          <w:t>schedule 15 (section 2 (1) (h); section 9 (1) &amp; (2)</w:t>
        </w:r>
      </w:hyperlink>
      <w:r>
        <w:t xml:space="preserve">. </w:t>
      </w:r>
    </w:p>
  </w:footnote>
  <w:footnote w:id="4">
    <w:p w14:paraId="053B9F10" w14:textId="5F373302" w:rsidR="00E5691C" w:rsidRDefault="00E5691C">
      <w:pPr>
        <w:pStyle w:val="FootnoteText"/>
      </w:pPr>
      <w:r>
        <w:rPr>
          <w:rStyle w:val="FootnoteReference"/>
        </w:rPr>
        <w:footnoteRef/>
      </w:r>
      <w:r>
        <w:t xml:space="preserve"> For example</w:t>
      </w:r>
      <w:r w:rsidRPr="002D5D29">
        <w:t xml:space="preserve"> the City of Glasgow District Council Order Confirmation Act 1988. Part II, Sections 3 to 5 of the Order </w:t>
      </w:r>
      <w:r>
        <w:t xml:space="preserve">which </w:t>
      </w:r>
      <w:r w:rsidRPr="002D5D29">
        <w:t>enable</w:t>
      </w:r>
      <w:r>
        <w:t>d</w:t>
      </w:r>
      <w:r w:rsidRPr="002D5D29">
        <w:t xml:space="preserve"> the then district council (and subsequently Glasgow City Council) to maintain a fire insurance fund, a social, cultural and recreational reserve fund and separately defined repairs and renewals fund.</w:t>
      </w:r>
      <w:r>
        <w:t xml:space="preserve"> An additional example of locally specific powers are Harbour Reserve Funds, </w:t>
      </w:r>
      <w:r w:rsidRPr="002D5D29">
        <w:t xml:space="preserve">the </w:t>
      </w:r>
      <w:hyperlink r:id="rId7" w:history="1">
        <w:r w:rsidRPr="002D5D29">
          <w:rPr>
            <w:rStyle w:val="Hyperlink"/>
          </w:rPr>
          <w:t>Zetland County Council Act 1974</w:t>
        </w:r>
      </w:hyperlink>
      <w:r>
        <w:t xml:space="preserve"> </w:t>
      </w:r>
      <w:r w:rsidR="00F67412">
        <w:t xml:space="preserve">and the </w:t>
      </w:r>
      <w:hyperlink r:id="rId8" w:history="1">
        <w:r w:rsidR="00F67412" w:rsidRPr="00C41A1E">
          <w:rPr>
            <w:rStyle w:val="Hyperlink"/>
          </w:rPr>
          <w:t>Orkney County Council Act 1974</w:t>
        </w:r>
      </w:hyperlink>
    </w:p>
  </w:footnote>
  <w:footnote w:id="5">
    <w:p w14:paraId="551DCB74" w14:textId="77777777" w:rsidR="00E5691C" w:rsidRDefault="00E5691C" w:rsidP="00BE5517">
      <w:pPr>
        <w:pStyle w:val="FootnoteText"/>
      </w:pPr>
      <w:r>
        <w:rPr>
          <w:rStyle w:val="FootnoteReference"/>
        </w:rPr>
        <w:footnoteRef/>
      </w:r>
      <w:r>
        <w:t xml:space="preserve"> Primarily the </w:t>
      </w:r>
      <w:hyperlink r:id="rId9" w:history="1">
        <w:r w:rsidRPr="00F7613B">
          <w:rPr>
            <w:rStyle w:val="Hyperlink"/>
          </w:rPr>
          <w:t>Housing (Scotland) Act 1987</w:t>
        </w:r>
      </w:hyperlink>
      <w:r>
        <w:t xml:space="preserve">. Examples of the distinction drawn between the General Fund, for local taxation purposes, and the HRA balance include </w:t>
      </w:r>
      <w:hyperlink r:id="rId10" w:history="1">
        <w:r w:rsidRPr="00F7613B">
          <w:rPr>
            <w:rStyle w:val="Hyperlink"/>
          </w:rPr>
          <w:t>sections 203 and 204;</w:t>
        </w:r>
      </w:hyperlink>
      <w:r>
        <w:t xml:space="preserve"> </w:t>
      </w:r>
      <w:hyperlink r:id="rId11" w:history="1">
        <w:r w:rsidRPr="00F7613B">
          <w:rPr>
            <w:rStyle w:val="Hyperlink"/>
          </w:rPr>
          <w:t>schedule 15 (section 2 (1) (h); section 9 (1) &amp; (2)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8E56E" w14:textId="77777777" w:rsidR="00E5691C" w:rsidRDefault="00B617D3">
    <w:pPr>
      <w:pStyle w:val="Header"/>
    </w:pPr>
    <w:r>
      <w:rPr>
        <w:noProof/>
        <w:lang w:val="en-US"/>
      </w:rPr>
      <w:pict w14:anchorId="7FA67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26029" o:spid="_x0000_s2050" type="#_x0000_t136" style="position:absolute;margin-left:0;margin-top:0;width:579.8pt;height:52.7pt;rotation:315;z-index:-251656192;mso-position-horizontal:center;mso-position-horizontal-relative:margin;mso-position-vertical:center;mso-position-vertical-relative:margin" o:allowincell="f" fillcolor="silver" stroked="f">
          <v:fill opacity=".5"/>
          <v:textpath style="font-family:&quot;Times New Roman&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60D9" w14:textId="77777777" w:rsidR="00E5691C" w:rsidRDefault="00B617D3">
    <w:pPr>
      <w:pStyle w:val="Header"/>
    </w:pPr>
    <w:r>
      <w:rPr>
        <w:noProof/>
        <w:lang w:val="en-US"/>
      </w:rPr>
      <w:pict w14:anchorId="031A3C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26030" o:spid="_x0000_s2051" type="#_x0000_t136" style="position:absolute;margin-left:0;margin-top:0;width:579.8pt;height:52.7pt;rotation:315;z-index:-251655168;mso-position-horizontal:center;mso-position-horizontal-relative:margin;mso-position-vertical:center;mso-position-vertical-relative:margin" o:allowincell="f" fillcolor="silver" stroked="f">
          <v:fill opacity=".5"/>
          <v:textpath style="font-family:&quot;Times New Roman&quot;;font-size:1pt" string="Draft for Consult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090A8" w14:textId="77777777" w:rsidR="00E5691C" w:rsidRDefault="00B617D3">
    <w:pPr>
      <w:pStyle w:val="Header"/>
    </w:pPr>
    <w:r>
      <w:rPr>
        <w:noProof/>
        <w:lang w:val="en-US"/>
      </w:rPr>
      <w:pict w14:anchorId="3D7A6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26028" o:spid="_x0000_s2049" type="#_x0000_t136" style="position:absolute;margin-left:0;margin-top:0;width:579.8pt;height:52.7pt;rotation:315;z-index:-251657216;mso-position-horizontal:center;mso-position-horizontal-relative:margin;mso-position-vertical:center;mso-position-vertical-relative:margin" o:allowincell="f" fillcolor="silver" stroked="f">
          <v:fill opacity=".5"/>
          <v:textpath style="font-family:&quot;Times New Roman&quot;;font-size:1pt" string="Draft for Consult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736814"/>
    <w:multiLevelType w:val="hybridMultilevel"/>
    <w:tmpl w:val="04801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0E20FE"/>
    <w:multiLevelType w:val="hybridMultilevel"/>
    <w:tmpl w:val="B5B090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2557E5"/>
    <w:multiLevelType w:val="hybridMultilevel"/>
    <w:tmpl w:val="43766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30EF3"/>
    <w:multiLevelType w:val="hybridMultilevel"/>
    <w:tmpl w:val="48D215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D97AC8"/>
    <w:multiLevelType w:val="hybridMultilevel"/>
    <w:tmpl w:val="59EE6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7172CE"/>
    <w:multiLevelType w:val="hybridMultilevel"/>
    <w:tmpl w:val="4350B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A6829"/>
    <w:multiLevelType w:val="hybridMultilevel"/>
    <w:tmpl w:val="547EE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B69A9"/>
    <w:multiLevelType w:val="hybridMultilevel"/>
    <w:tmpl w:val="8378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746E8"/>
    <w:multiLevelType w:val="hybridMultilevel"/>
    <w:tmpl w:val="FE9A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B7478"/>
    <w:multiLevelType w:val="hybridMultilevel"/>
    <w:tmpl w:val="DBE8CE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992A64"/>
    <w:multiLevelType w:val="hybridMultilevel"/>
    <w:tmpl w:val="D706C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D66028"/>
    <w:multiLevelType w:val="hybridMultilevel"/>
    <w:tmpl w:val="4942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500F2A"/>
    <w:multiLevelType w:val="hybridMultilevel"/>
    <w:tmpl w:val="D98EA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5C0B2F"/>
    <w:multiLevelType w:val="hybridMultilevel"/>
    <w:tmpl w:val="82962E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46660857"/>
    <w:multiLevelType w:val="hybridMultilevel"/>
    <w:tmpl w:val="B972D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091380"/>
    <w:multiLevelType w:val="hybridMultilevel"/>
    <w:tmpl w:val="B2FA9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9037E9"/>
    <w:multiLevelType w:val="hybridMultilevel"/>
    <w:tmpl w:val="48FA1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E03981"/>
    <w:multiLevelType w:val="hybridMultilevel"/>
    <w:tmpl w:val="A97E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A951DC"/>
    <w:multiLevelType w:val="hybridMultilevel"/>
    <w:tmpl w:val="B7CCA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5E2263"/>
    <w:multiLevelType w:val="hybridMultilevel"/>
    <w:tmpl w:val="CDDC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F503D3"/>
    <w:multiLevelType w:val="hybridMultilevel"/>
    <w:tmpl w:val="8BC2F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F842AF"/>
    <w:multiLevelType w:val="hybridMultilevel"/>
    <w:tmpl w:val="81983D1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D70EE3"/>
    <w:multiLevelType w:val="hybridMultilevel"/>
    <w:tmpl w:val="BC3E2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85FA8"/>
    <w:multiLevelType w:val="hybridMultilevel"/>
    <w:tmpl w:val="17A2E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6" w15:restartNumberingAfterBreak="0">
    <w:nsid w:val="666343F3"/>
    <w:multiLevelType w:val="hybridMultilevel"/>
    <w:tmpl w:val="173A6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2025FC"/>
    <w:multiLevelType w:val="hybridMultilevel"/>
    <w:tmpl w:val="2426109A"/>
    <w:lvl w:ilvl="0" w:tplc="3098B5BC">
      <w:start w:val="1"/>
      <w:numFmt w:val="bullet"/>
      <w:pStyle w:val="22A-Table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882A01"/>
    <w:multiLevelType w:val="hybridMultilevel"/>
    <w:tmpl w:val="A0EE4F5C"/>
    <w:lvl w:ilvl="0" w:tplc="18643D8C">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95140C"/>
    <w:multiLevelType w:val="hybridMultilevel"/>
    <w:tmpl w:val="A4D4D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126075"/>
    <w:multiLevelType w:val="hybridMultilevel"/>
    <w:tmpl w:val="64744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BD655F"/>
    <w:multiLevelType w:val="hybridMultilevel"/>
    <w:tmpl w:val="9A96E9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082406"/>
    <w:multiLevelType w:val="hybridMultilevel"/>
    <w:tmpl w:val="2F10C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44139B4"/>
    <w:multiLevelType w:val="hybridMultilevel"/>
    <w:tmpl w:val="E4D0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6409E5"/>
    <w:multiLevelType w:val="hybridMultilevel"/>
    <w:tmpl w:val="74462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4E4301"/>
    <w:multiLevelType w:val="hybridMultilevel"/>
    <w:tmpl w:val="034A9D7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0"/>
  </w:num>
  <w:num w:numId="3">
    <w:abstractNumId w:val="0"/>
  </w:num>
  <w:num w:numId="4">
    <w:abstractNumId w:val="0"/>
  </w:num>
  <w:num w:numId="5">
    <w:abstractNumId w:val="25"/>
  </w:num>
  <w:num w:numId="6">
    <w:abstractNumId w:val="0"/>
  </w:num>
  <w:num w:numId="7">
    <w:abstractNumId w:val="5"/>
  </w:num>
  <w:num w:numId="8">
    <w:abstractNumId w:val="23"/>
  </w:num>
  <w:num w:numId="9">
    <w:abstractNumId w:val="32"/>
  </w:num>
  <w:num w:numId="10">
    <w:abstractNumId w:val="26"/>
  </w:num>
  <w:num w:numId="11">
    <w:abstractNumId w:val="18"/>
  </w:num>
  <w:num w:numId="12">
    <w:abstractNumId w:val="12"/>
  </w:num>
  <w:num w:numId="13">
    <w:abstractNumId w:val="7"/>
  </w:num>
  <w:num w:numId="14">
    <w:abstractNumId w:val="6"/>
  </w:num>
  <w:num w:numId="15">
    <w:abstractNumId w:val="35"/>
  </w:num>
  <w:num w:numId="16">
    <w:abstractNumId w:val="30"/>
  </w:num>
  <w:num w:numId="17">
    <w:abstractNumId w:val="24"/>
  </w:num>
  <w:num w:numId="18">
    <w:abstractNumId w:val="17"/>
  </w:num>
  <w:num w:numId="19">
    <w:abstractNumId w:val="34"/>
  </w:num>
  <w:num w:numId="20">
    <w:abstractNumId w:val="13"/>
  </w:num>
  <w:num w:numId="21">
    <w:abstractNumId w:val="4"/>
  </w:num>
  <w:num w:numId="22">
    <w:abstractNumId w:val="3"/>
  </w:num>
  <w:num w:numId="23">
    <w:abstractNumId w:val="10"/>
  </w:num>
  <w:num w:numId="24">
    <w:abstractNumId w:val="16"/>
  </w:num>
  <w:num w:numId="25">
    <w:abstractNumId w:val="33"/>
  </w:num>
  <w:num w:numId="26">
    <w:abstractNumId w:val="11"/>
  </w:num>
  <w:num w:numId="27">
    <w:abstractNumId w:val="28"/>
  </w:num>
  <w:num w:numId="28">
    <w:abstractNumId w:val="27"/>
  </w:num>
  <w:num w:numId="29">
    <w:abstractNumId w:val="20"/>
  </w:num>
  <w:num w:numId="30">
    <w:abstractNumId w:val="29"/>
  </w:num>
  <w:num w:numId="31">
    <w:abstractNumId w:val="8"/>
  </w:num>
  <w:num w:numId="32">
    <w:abstractNumId w:val="9"/>
  </w:num>
  <w:num w:numId="33">
    <w:abstractNumId w:val="15"/>
  </w:num>
  <w:num w:numId="34">
    <w:abstractNumId w:val="19"/>
  </w:num>
  <w:num w:numId="35">
    <w:abstractNumId w:val="2"/>
  </w:num>
  <w:num w:numId="36">
    <w:abstractNumId w:val="1"/>
  </w:num>
  <w:num w:numId="37">
    <w:abstractNumId w:val="31"/>
  </w:num>
  <w:num w:numId="38">
    <w:abstractNumId w:val="21"/>
  </w:num>
  <w:num w:numId="39">
    <w:abstractNumId w:val="22"/>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3A"/>
    <w:rsid w:val="000003B1"/>
    <w:rsid w:val="00023A39"/>
    <w:rsid w:val="00027C27"/>
    <w:rsid w:val="00037B0D"/>
    <w:rsid w:val="00043B64"/>
    <w:rsid w:val="0004746F"/>
    <w:rsid w:val="0005708A"/>
    <w:rsid w:val="000612F4"/>
    <w:rsid w:val="000630C3"/>
    <w:rsid w:val="00072358"/>
    <w:rsid w:val="00075FCE"/>
    <w:rsid w:val="00086D9D"/>
    <w:rsid w:val="0009098C"/>
    <w:rsid w:val="00091CE5"/>
    <w:rsid w:val="00091F96"/>
    <w:rsid w:val="000B1E8E"/>
    <w:rsid w:val="000C0CF4"/>
    <w:rsid w:val="000D3A4B"/>
    <w:rsid w:val="000D605E"/>
    <w:rsid w:val="000E0DE4"/>
    <w:rsid w:val="000E3139"/>
    <w:rsid w:val="000F772B"/>
    <w:rsid w:val="0010516C"/>
    <w:rsid w:val="0014173D"/>
    <w:rsid w:val="00151C45"/>
    <w:rsid w:val="00152CD7"/>
    <w:rsid w:val="001610A8"/>
    <w:rsid w:val="00165CB4"/>
    <w:rsid w:val="00174F8E"/>
    <w:rsid w:val="001A46EC"/>
    <w:rsid w:val="001A617D"/>
    <w:rsid w:val="001B6096"/>
    <w:rsid w:val="001C74D4"/>
    <w:rsid w:val="001D4962"/>
    <w:rsid w:val="001E3DFA"/>
    <w:rsid w:val="001E4108"/>
    <w:rsid w:val="001F2249"/>
    <w:rsid w:val="001F2F78"/>
    <w:rsid w:val="0020047F"/>
    <w:rsid w:val="002009E4"/>
    <w:rsid w:val="0020187D"/>
    <w:rsid w:val="002060FE"/>
    <w:rsid w:val="00214E20"/>
    <w:rsid w:val="00222BC7"/>
    <w:rsid w:val="00224AF4"/>
    <w:rsid w:val="00225135"/>
    <w:rsid w:val="002267B4"/>
    <w:rsid w:val="00236C3A"/>
    <w:rsid w:val="00242F41"/>
    <w:rsid w:val="0025229C"/>
    <w:rsid w:val="0025714F"/>
    <w:rsid w:val="00257CB4"/>
    <w:rsid w:val="002612BA"/>
    <w:rsid w:val="00274BB1"/>
    <w:rsid w:val="00281579"/>
    <w:rsid w:val="002830E5"/>
    <w:rsid w:val="00285045"/>
    <w:rsid w:val="00290130"/>
    <w:rsid w:val="0029539B"/>
    <w:rsid w:val="00295E68"/>
    <w:rsid w:val="002A5280"/>
    <w:rsid w:val="002C3B99"/>
    <w:rsid w:val="002C7E23"/>
    <w:rsid w:val="002D14EF"/>
    <w:rsid w:val="002D5D29"/>
    <w:rsid w:val="002D623C"/>
    <w:rsid w:val="002D63E9"/>
    <w:rsid w:val="002E0B53"/>
    <w:rsid w:val="002F2F21"/>
    <w:rsid w:val="0030371C"/>
    <w:rsid w:val="00306C61"/>
    <w:rsid w:val="0031088A"/>
    <w:rsid w:val="00311AB0"/>
    <w:rsid w:val="003125E1"/>
    <w:rsid w:val="0032071D"/>
    <w:rsid w:val="00331527"/>
    <w:rsid w:val="00332CC6"/>
    <w:rsid w:val="003401CC"/>
    <w:rsid w:val="00344767"/>
    <w:rsid w:val="00352134"/>
    <w:rsid w:val="00357725"/>
    <w:rsid w:val="00362A1B"/>
    <w:rsid w:val="00366C50"/>
    <w:rsid w:val="00366FE0"/>
    <w:rsid w:val="0037582B"/>
    <w:rsid w:val="003761B5"/>
    <w:rsid w:val="00380A2B"/>
    <w:rsid w:val="00381A6A"/>
    <w:rsid w:val="00382898"/>
    <w:rsid w:val="0039108C"/>
    <w:rsid w:val="003A3C12"/>
    <w:rsid w:val="003A6EEC"/>
    <w:rsid w:val="003A7177"/>
    <w:rsid w:val="003A7AE9"/>
    <w:rsid w:val="003B6713"/>
    <w:rsid w:val="003C49FC"/>
    <w:rsid w:val="003C511C"/>
    <w:rsid w:val="003D099D"/>
    <w:rsid w:val="003D2419"/>
    <w:rsid w:val="003F3628"/>
    <w:rsid w:val="003F6B7D"/>
    <w:rsid w:val="0040085C"/>
    <w:rsid w:val="0040107B"/>
    <w:rsid w:val="00403771"/>
    <w:rsid w:val="00405A01"/>
    <w:rsid w:val="00420E92"/>
    <w:rsid w:val="004214F6"/>
    <w:rsid w:val="004303AD"/>
    <w:rsid w:val="004327C8"/>
    <w:rsid w:val="0043338D"/>
    <w:rsid w:val="00434A18"/>
    <w:rsid w:val="004544CB"/>
    <w:rsid w:val="00456378"/>
    <w:rsid w:val="00457498"/>
    <w:rsid w:val="004729CE"/>
    <w:rsid w:val="00482F42"/>
    <w:rsid w:val="00485C92"/>
    <w:rsid w:val="004B1618"/>
    <w:rsid w:val="004B6839"/>
    <w:rsid w:val="004C11D7"/>
    <w:rsid w:val="004C3E0E"/>
    <w:rsid w:val="004C66DD"/>
    <w:rsid w:val="004C773E"/>
    <w:rsid w:val="004D1742"/>
    <w:rsid w:val="004D28DE"/>
    <w:rsid w:val="004D2A47"/>
    <w:rsid w:val="004E015E"/>
    <w:rsid w:val="004F1419"/>
    <w:rsid w:val="004F28D9"/>
    <w:rsid w:val="00501067"/>
    <w:rsid w:val="0051587B"/>
    <w:rsid w:val="00521478"/>
    <w:rsid w:val="005229AD"/>
    <w:rsid w:val="0052410F"/>
    <w:rsid w:val="00535028"/>
    <w:rsid w:val="00537457"/>
    <w:rsid w:val="00540D9F"/>
    <w:rsid w:val="00557722"/>
    <w:rsid w:val="00583A8C"/>
    <w:rsid w:val="00594E24"/>
    <w:rsid w:val="00597122"/>
    <w:rsid w:val="005A0E89"/>
    <w:rsid w:val="005A5BFB"/>
    <w:rsid w:val="005B5694"/>
    <w:rsid w:val="005B56F1"/>
    <w:rsid w:val="005C04CC"/>
    <w:rsid w:val="005C3C0C"/>
    <w:rsid w:val="005D04D2"/>
    <w:rsid w:val="005D7A07"/>
    <w:rsid w:val="005F117C"/>
    <w:rsid w:val="005F20E7"/>
    <w:rsid w:val="005F4A03"/>
    <w:rsid w:val="005F7F3D"/>
    <w:rsid w:val="00622F71"/>
    <w:rsid w:val="00623538"/>
    <w:rsid w:val="0063384B"/>
    <w:rsid w:val="0064496C"/>
    <w:rsid w:val="00652CF9"/>
    <w:rsid w:val="00654490"/>
    <w:rsid w:val="006824E9"/>
    <w:rsid w:val="00693595"/>
    <w:rsid w:val="006A4402"/>
    <w:rsid w:val="006A6836"/>
    <w:rsid w:val="006A6C69"/>
    <w:rsid w:val="006B4C88"/>
    <w:rsid w:val="006B7618"/>
    <w:rsid w:val="006B797B"/>
    <w:rsid w:val="006C1539"/>
    <w:rsid w:val="006C27F5"/>
    <w:rsid w:val="006C3CAA"/>
    <w:rsid w:val="006C6D76"/>
    <w:rsid w:val="006D4279"/>
    <w:rsid w:val="006D603D"/>
    <w:rsid w:val="006D6F98"/>
    <w:rsid w:val="006D7E35"/>
    <w:rsid w:val="006F2008"/>
    <w:rsid w:val="006F24E3"/>
    <w:rsid w:val="006F56B7"/>
    <w:rsid w:val="006F783A"/>
    <w:rsid w:val="00706819"/>
    <w:rsid w:val="007265B3"/>
    <w:rsid w:val="00734012"/>
    <w:rsid w:val="00734FC7"/>
    <w:rsid w:val="007441F6"/>
    <w:rsid w:val="007505B3"/>
    <w:rsid w:val="00757494"/>
    <w:rsid w:val="00757C64"/>
    <w:rsid w:val="0076722A"/>
    <w:rsid w:val="00776909"/>
    <w:rsid w:val="007776BD"/>
    <w:rsid w:val="007850A1"/>
    <w:rsid w:val="00785862"/>
    <w:rsid w:val="00795E28"/>
    <w:rsid w:val="007A5335"/>
    <w:rsid w:val="007A7344"/>
    <w:rsid w:val="007B27AF"/>
    <w:rsid w:val="007B448F"/>
    <w:rsid w:val="007B602D"/>
    <w:rsid w:val="007B6DCD"/>
    <w:rsid w:val="007C6278"/>
    <w:rsid w:val="007C7D73"/>
    <w:rsid w:val="007E2652"/>
    <w:rsid w:val="007E6648"/>
    <w:rsid w:val="007F0CA7"/>
    <w:rsid w:val="00803FB1"/>
    <w:rsid w:val="008079E1"/>
    <w:rsid w:val="008105AE"/>
    <w:rsid w:val="00820F23"/>
    <w:rsid w:val="00824507"/>
    <w:rsid w:val="00831652"/>
    <w:rsid w:val="00832464"/>
    <w:rsid w:val="008407C0"/>
    <w:rsid w:val="008478BF"/>
    <w:rsid w:val="008523EB"/>
    <w:rsid w:val="00857548"/>
    <w:rsid w:val="00882462"/>
    <w:rsid w:val="0088537C"/>
    <w:rsid w:val="008933C7"/>
    <w:rsid w:val="008948EB"/>
    <w:rsid w:val="0089587C"/>
    <w:rsid w:val="008A0A62"/>
    <w:rsid w:val="008A41F1"/>
    <w:rsid w:val="008A4D0A"/>
    <w:rsid w:val="008B4168"/>
    <w:rsid w:val="008C007D"/>
    <w:rsid w:val="008D649E"/>
    <w:rsid w:val="008E19E1"/>
    <w:rsid w:val="008F31BF"/>
    <w:rsid w:val="008F56B8"/>
    <w:rsid w:val="0090229B"/>
    <w:rsid w:val="00915B0D"/>
    <w:rsid w:val="00923E3D"/>
    <w:rsid w:val="00931175"/>
    <w:rsid w:val="00951B29"/>
    <w:rsid w:val="00953FC5"/>
    <w:rsid w:val="00954E29"/>
    <w:rsid w:val="0095786C"/>
    <w:rsid w:val="0096371B"/>
    <w:rsid w:val="009A2F5E"/>
    <w:rsid w:val="009A59CF"/>
    <w:rsid w:val="009B388C"/>
    <w:rsid w:val="009B7615"/>
    <w:rsid w:val="009B7D8E"/>
    <w:rsid w:val="009D017F"/>
    <w:rsid w:val="009D07C3"/>
    <w:rsid w:val="009D4B19"/>
    <w:rsid w:val="009D5449"/>
    <w:rsid w:val="009D7B5C"/>
    <w:rsid w:val="009E5DEF"/>
    <w:rsid w:val="009E7CAD"/>
    <w:rsid w:val="009F00A1"/>
    <w:rsid w:val="00A06A76"/>
    <w:rsid w:val="00A1194B"/>
    <w:rsid w:val="00A15818"/>
    <w:rsid w:val="00A359D3"/>
    <w:rsid w:val="00A404A5"/>
    <w:rsid w:val="00A41682"/>
    <w:rsid w:val="00A50C5F"/>
    <w:rsid w:val="00A51C4F"/>
    <w:rsid w:val="00A54605"/>
    <w:rsid w:val="00A55BCF"/>
    <w:rsid w:val="00A5682C"/>
    <w:rsid w:val="00A57A19"/>
    <w:rsid w:val="00A66610"/>
    <w:rsid w:val="00A66CA0"/>
    <w:rsid w:val="00A81074"/>
    <w:rsid w:val="00A83B42"/>
    <w:rsid w:val="00A9067D"/>
    <w:rsid w:val="00AA1D0F"/>
    <w:rsid w:val="00AA51A6"/>
    <w:rsid w:val="00AB7FE6"/>
    <w:rsid w:val="00AC6428"/>
    <w:rsid w:val="00AC7258"/>
    <w:rsid w:val="00AC7C5B"/>
    <w:rsid w:val="00AD38A2"/>
    <w:rsid w:val="00AD3E02"/>
    <w:rsid w:val="00AD626F"/>
    <w:rsid w:val="00B07EFC"/>
    <w:rsid w:val="00B12CD7"/>
    <w:rsid w:val="00B2118F"/>
    <w:rsid w:val="00B2197C"/>
    <w:rsid w:val="00B24E4C"/>
    <w:rsid w:val="00B25BE1"/>
    <w:rsid w:val="00B41926"/>
    <w:rsid w:val="00B42424"/>
    <w:rsid w:val="00B44EEA"/>
    <w:rsid w:val="00B4620A"/>
    <w:rsid w:val="00B46A48"/>
    <w:rsid w:val="00B51BDC"/>
    <w:rsid w:val="00B561C0"/>
    <w:rsid w:val="00B617D3"/>
    <w:rsid w:val="00B67110"/>
    <w:rsid w:val="00B67E1B"/>
    <w:rsid w:val="00B70127"/>
    <w:rsid w:val="00B76E9C"/>
    <w:rsid w:val="00B773CE"/>
    <w:rsid w:val="00B83C56"/>
    <w:rsid w:val="00B858E2"/>
    <w:rsid w:val="00B90E5A"/>
    <w:rsid w:val="00B9685C"/>
    <w:rsid w:val="00BA2C6C"/>
    <w:rsid w:val="00BA3344"/>
    <w:rsid w:val="00BA4778"/>
    <w:rsid w:val="00BB1203"/>
    <w:rsid w:val="00BB4B1C"/>
    <w:rsid w:val="00BD1998"/>
    <w:rsid w:val="00BE2F07"/>
    <w:rsid w:val="00BE508C"/>
    <w:rsid w:val="00BE5517"/>
    <w:rsid w:val="00BF29A8"/>
    <w:rsid w:val="00C00819"/>
    <w:rsid w:val="00C04617"/>
    <w:rsid w:val="00C10D88"/>
    <w:rsid w:val="00C10F71"/>
    <w:rsid w:val="00C16341"/>
    <w:rsid w:val="00C35312"/>
    <w:rsid w:val="00C41A1E"/>
    <w:rsid w:val="00C52249"/>
    <w:rsid w:val="00C52ECE"/>
    <w:rsid w:val="00C539B7"/>
    <w:rsid w:val="00C54250"/>
    <w:rsid w:val="00C60209"/>
    <w:rsid w:val="00C60245"/>
    <w:rsid w:val="00C70D01"/>
    <w:rsid w:val="00C8228E"/>
    <w:rsid w:val="00C90BB5"/>
    <w:rsid w:val="00C91823"/>
    <w:rsid w:val="00C96D89"/>
    <w:rsid w:val="00CA5292"/>
    <w:rsid w:val="00CA66D3"/>
    <w:rsid w:val="00CB2CC3"/>
    <w:rsid w:val="00CB6704"/>
    <w:rsid w:val="00CC0D18"/>
    <w:rsid w:val="00CC3394"/>
    <w:rsid w:val="00CC3BF0"/>
    <w:rsid w:val="00CD61A6"/>
    <w:rsid w:val="00CF3C38"/>
    <w:rsid w:val="00CF4D13"/>
    <w:rsid w:val="00D0010B"/>
    <w:rsid w:val="00D008AB"/>
    <w:rsid w:val="00D06DD6"/>
    <w:rsid w:val="00D10296"/>
    <w:rsid w:val="00D129D7"/>
    <w:rsid w:val="00D141A5"/>
    <w:rsid w:val="00D15B27"/>
    <w:rsid w:val="00D161BE"/>
    <w:rsid w:val="00D16278"/>
    <w:rsid w:val="00D252DD"/>
    <w:rsid w:val="00D34A3A"/>
    <w:rsid w:val="00D41B93"/>
    <w:rsid w:val="00D42FA3"/>
    <w:rsid w:val="00D431B5"/>
    <w:rsid w:val="00D447A7"/>
    <w:rsid w:val="00D4638C"/>
    <w:rsid w:val="00D56351"/>
    <w:rsid w:val="00D57AA7"/>
    <w:rsid w:val="00D62293"/>
    <w:rsid w:val="00D629AA"/>
    <w:rsid w:val="00D62A65"/>
    <w:rsid w:val="00D635DD"/>
    <w:rsid w:val="00D670C2"/>
    <w:rsid w:val="00D7221B"/>
    <w:rsid w:val="00D813C5"/>
    <w:rsid w:val="00D9312F"/>
    <w:rsid w:val="00DA1578"/>
    <w:rsid w:val="00DB29C2"/>
    <w:rsid w:val="00DB4DD5"/>
    <w:rsid w:val="00DB71A3"/>
    <w:rsid w:val="00DC0C12"/>
    <w:rsid w:val="00DC1688"/>
    <w:rsid w:val="00DC1AFF"/>
    <w:rsid w:val="00DC5BE5"/>
    <w:rsid w:val="00DD41E4"/>
    <w:rsid w:val="00DE6BB1"/>
    <w:rsid w:val="00DF3D90"/>
    <w:rsid w:val="00DF4F82"/>
    <w:rsid w:val="00E0015F"/>
    <w:rsid w:val="00E04934"/>
    <w:rsid w:val="00E10FEF"/>
    <w:rsid w:val="00E238DB"/>
    <w:rsid w:val="00E25995"/>
    <w:rsid w:val="00E30937"/>
    <w:rsid w:val="00E31689"/>
    <w:rsid w:val="00E3292E"/>
    <w:rsid w:val="00E32A27"/>
    <w:rsid w:val="00E3481F"/>
    <w:rsid w:val="00E34F4B"/>
    <w:rsid w:val="00E448EE"/>
    <w:rsid w:val="00E44C73"/>
    <w:rsid w:val="00E555F8"/>
    <w:rsid w:val="00E5691C"/>
    <w:rsid w:val="00E65AB0"/>
    <w:rsid w:val="00E67F69"/>
    <w:rsid w:val="00E80F9D"/>
    <w:rsid w:val="00E83493"/>
    <w:rsid w:val="00E91E76"/>
    <w:rsid w:val="00EB31EF"/>
    <w:rsid w:val="00EB451E"/>
    <w:rsid w:val="00EC1972"/>
    <w:rsid w:val="00ED18EA"/>
    <w:rsid w:val="00EF19F7"/>
    <w:rsid w:val="00EF7A0A"/>
    <w:rsid w:val="00F00FE6"/>
    <w:rsid w:val="00F05A16"/>
    <w:rsid w:val="00F126C2"/>
    <w:rsid w:val="00F14246"/>
    <w:rsid w:val="00F15434"/>
    <w:rsid w:val="00F21F75"/>
    <w:rsid w:val="00F246CD"/>
    <w:rsid w:val="00F37C40"/>
    <w:rsid w:val="00F4154B"/>
    <w:rsid w:val="00F41C63"/>
    <w:rsid w:val="00F62101"/>
    <w:rsid w:val="00F634EC"/>
    <w:rsid w:val="00F64A34"/>
    <w:rsid w:val="00F6511A"/>
    <w:rsid w:val="00F66B18"/>
    <w:rsid w:val="00F67412"/>
    <w:rsid w:val="00F74BA4"/>
    <w:rsid w:val="00F7613B"/>
    <w:rsid w:val="00F82670"/>
    <w:rsid w:val="00F83062"/>
    <w:rsid w:val="00F84870"/>
    <w:rsid w:val="00F86564"/>
    <w:rsid w:val="00F869FF"/>
    <w:rsid w:val="00F8730B"/>
    <w:rsid w:val="00F874DA"/>
    <w:rsid w:val="00F90B4A"/>
    <w:rsid w:val="00F94603"/>
    <w:rsid w:val="00FA1F60"/>
    <w:rsid w:val="00FA4BC1"/>
    <w:rsid w:val="00FC4C88"/>
    <w:rsid w:val="00FC64C9"/>
    <w:rsid w:val="00FD1545"/>
    <w:rsid w:val="00FE4812"/>
    <w:rsid w:val="00FF1C96"/>
    <w:rsid w:val="00FF3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9A87E6"/>
  <w15:chartTrackingRefBased/>
  <w15:docId w15:val="{3316FF2F-6B31-4C46-B270-5AD04D01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3A"/>
    <w:rPr>
      <w:rFonts w:ascii="Times New Roman" w:hAnsi="Times New Roman" w:cs="Times New Roman"/>
      <w:sz w:val="24"/>
      <w:szCs w:val="24"/>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BodyText2">
    <w:name w:val="Body Text 2"/>
    <w:basedOn w:val="Normal"/>
    <w:link w:val="BodyText2Char"/>
    <w:rsid w:val="006F783A"/>
    <w:rPr>
      <w:b/>
      <w:sz w:val="32"/>
      <w:szCs w:val="20"/>
      <w:lang w:val="en-US"/>
    </w:rPr>
  </w:style>
  <w:style w:type="character" w:customStyle="1" w:styleId="BodyText2Char">
    <w:name w:val="Body Text 2 Char"/>
    <w:basedOn w:val="DefaultParagraphFont"/>
    <w:link w:val="BodyText2"/>
    <w:rsid w:val="006F783A"/>
    <w:rPr>
      <w:rFonts w:ascii="Times New Roman" w:hAnsi="Times New Roman" w:cs="Times New Roman"/>
      <w:b/>
      <w:sz w:val="32"/>
      <w:szCs w:val="20"/>
      <w:lang w:val="en-US"/>
    </w:rPr>
  </w:style>
  <w:style w:type="character" w:styleId="Hyperlink">
    <w:name w:val="Hyperlink"/>
    <w:rsid w:val="006F783A"/>
    <w:rPr>
      <w:color w:val="0000FF"/>
      <w:u w:val="single"/>
    </w:rPr>
  </w:style>
  <w:style w:type="paragraph" w:customStyle="1" w:styleId="p7">
    <w:name w:val="p7"/>
    <w:basedOn w:val="Normal"/>
    <w:rsid w:val="006F783A"/>
    <w:pPr>
      <w:widowControl w:val="0"/>
      <w:overflowPunct w:val="0"/>
      <w:autoSpaceDE w:val="0"/>
      <w:autoSpaceDN w:val="0"/>
      <w:adjustRightInd w:val="0"/>
      <w:textAlignment w:val="baseline"/>
    </w:pPr>
    <w:rPr>
      <w:rFonts w:ascii="Times" w:hAnsi="Times"/>
      <w:szCs w:val="20"/>
    </w:rPr>
  </w:style>
  <w:style w:type="table" w:styleId="TableGrid">
    <w:name w:val="Table Grid"/>
    <w:basedOn w:val="TableNormal"/>
    <w:rsid w:val="006F783A"/>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783A"/>
    <w:pPr>
      <w:ind w:left="720"/>
    </w:pPr>
    <w:rPr>
      <w:rFonts w:ascii="Verdana" w:hAnsi="Verdana"/>
      <w:sz w:val="22"/>
      <w:szCs w:val="22"/>
      <w:lang w:eastAsia="en-GB"/>
    </w:rPr>
  </w:style>
  <w:style w:type="character" w:styleId="FollowedHyperlink">
    <w:name w:val="FollowedHyperlink"/>
    <w:basedOn w:val="DefaultParagraphFont"/>
    <w:uiPriority w:val="99"/>
    <w:semiHidden/>
    <w:unhideWhenUsed/>
    <w:rsid w:val="006F783A"/>
    <w:rPr>
      <w:color w:val="954F72" w:themeColor="followedHyperlink"/>
      <w:u w:val="single"/>
    </w:rPr>
  </w:style>
  <w:style w:type="paragraph" w:styleId="BalloonText">
    <w:name w:val="Balloon Text"/>
    <w:basedOn w:val="Normal"/>
    <w:link w:val="BalloonTextChar"/>
    <w:uiPriority w:val="99"/>
    <w:semiHidden/>
    <w:unhideWhenUsed/>
    <w:rsid w:val="00E10F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FEF"/>
    <w:rPr>
      <w:rFonts w:ascii="Segoe UI" w:hAnsi="Segoe UI" w:cs="Segoe UI"/>
      <w:sz w:val="18"/>
      <w:szCs w:val="18"/>
    </w:rPr>
  </w:style>
  <w:style w:type="paragraph" w:styleId="Title">
    <w:name w:val="Title"/>
    <w:basedOn w:val="Normal"/>
    <w:next w:val="Normal"/>
    <w:link w:val="TitleChar"/>
    <w:uiPriority w:val="10"/>
    <w:qFormat/>
    <w:rsid w:val="008407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AF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24AF4"/>
    <w:rPr>
      <w:rFonts w:eastAsiaTheme="minorEastAsia"/>
      <w:color w:val="5A5A5A" w:themeColor="text1" w:themeTint="A5"/>
      <w:spacing w:val="15"/>
    </w:rPr>
  </w:style>
  <w:style w:type="character" w:customStyle="1" w:styleId="UnresolvedMention1">
    <w:name w:val="Unresolved Mention1"/>
    <w:basedOn w:val="DefaultParagraphFont"/>
    <w:uiPriority w:val="99"/>
    <w:semiHidden/>
    <w:unhideWhenUsed/>
    <w:rsid w:val="00257CB4"/>
    <w:rPr>
      <w:color w:val="605E5C"/>
      <w:shd w:val="clear" w:color="auto" w:fill="E1DFDD"/>
    </w:rPr>
  </w:style>
  <w:style w:type="paragraph" w:customStyle="1" w:styleId="21-Tabletext">
    <w:name w:val="21-Table text"/>
    <w:basedOn w:val="Normal"/>
    <w:qFormat/>
    <w:rsid w:val="00B24E4C"/>
    <w:pPr>
      <w:spacing w:before="120" w:after="120"/>
      <w:ind w:left="113" w:right="113"/>
    </w:pPr>
    <w:rPr>
      <w:rFonts w:ascii="Arial" w:hAnsi="Arial"/>
      <w:color w:val="595959" w:themeColor="text1" w:themeTint="A6"/>
      <w:sz w:val="20"/>
      <w:szCs w:val="20"/>
      <w:lang w:eastAsia="en-GB"/>
    </w:rPr>
  </w:style>
  <w:style w:type="table" w:customStyle="1" w:styleId="T01-TableLeft">
    <w:name w:val="T01-Table Left"/>
    <w:basedOn w:val="TableNormal"/>
    <w:uiPriority w:val="99"/>
    <w:rsid w:val="00B24E4C"/>
    <w:pPr>
      <w:ind w:left="28" w:right="28"/>
    </w:pPr>
    <w:rPr>
      <w:rFonts w:ascii="Arial" w:hAnsi="Arial" w:cs="Times New Roman"/>
      <w:color w:val="595959" w:themeColor="text1" w:themeTint="A6"/>
      <w:sz w:val="20"/>
      <w:szCs w:val="20"/>
      <w:lang w:eastAsia="en-GB"/>
    </w:rPr>
    <w:tblPr>
      <w:tblStyleRowBandSize w:val="1"/>
      <w:tblStyleColBandSize w:val="1"/>
      <w:tblBorders>
        <w:bottom w:val="single" w:sz="4" w:space="0" w:color="595959" w:themeColor="text1" w:themeTint="A6"/>
        <w:insideH w:val="single" w:sz="4" w:space="0" w:color="595959" w:themeColor="text1" w:themeTint="A6"/>
      </w:tblBorders>
      <w:tblCellMar>
        <w:left w:w="0" w:type="dxa"/>
        <w:right w:w="0" w:type="dxa"/>
      </w:tblCellMar>
    </w:tblPr>
    <w:tcPr>
      <w:shd w:val="clear" w:color="auto" w:fill="auto"/>
    </w:tcPr>
    <w:tblStylePr w:type="firstRow">
      <w:pPr>
        <w:wordWrap/>
        <w:ind w:leftChars="0" w:left="28" w:rightChars="0" w:right="28"/>
      </w:pPr>
      <w:rPr>
        <w:b/>
        <w:color w:val="FFFFFF" w:themeColor="background1"/>
        <w:sz w:val="24"/>
      </w:rPr>
      <w:tblPr/>
      <w:trPr>
        <w:tblHeader/>
      </w:trPr>
      <w:tcPr>
        <w:tcBorders>
          <w:top w:val="nil"/>
          <w:left w:val="nil"/>
          <w:bottom w:val="nil"/>
          <w:right w:val="nil"/>
          <w:insideH w:val="nil"/>
          <w:insideV w:val="nil"/>
          <w:tl2br w:val="nil"/>
          <w:tr2bl w:val="nil"/>
        </w:tcBorders>
        <w:shd w:val="clear" w:color="auto" w:fill="006B8D"/>
      </w:tcPr>
    </w:tblStylePr>
    <w:tblStylePr w:type="lastRow">
      <w:rPr>
        <w:b/>
        <w:color w:val="595959" w:themeColor="text1" w:themeTint="A6"/>
      </w:rPr>
      <w:tblPr/>
      <w:tcPr>
        <w:shd w:val="clear" w:color="auto" w:fill="F2F2F2" w:themeFill="background1" w:themeFillShade="F2"/>
      </w:tcPr>
    </w:tblStylePr>
    <w:tblStylePr w:type="firstCol">
      <w:pPr>
        <w:wordWrap/>
        <w:ind w:leftChars="0" w:left="28" w:rightChars="0" w:right="28"/>
        <w:jc w:val="left"/>
      </w:pPr>
      <w:rPr>
        <w:color w:val="595959" w:themeColor="text1" w:themeTint="A6"/>
      </w:rPr>
      <w:tblPr/>
      <w:tcPr>
        <w:shd w:val="clear" w:color="auto" w:fill="F2F2F2" w:themeFill="background1" w:themeFillShade="F2"/>
      </w:tcPr>
    </w:tblStylePr>
    <w:tblStylePr w:type="lastCol">
      <w:rPr>
        <w:b/>
        <w:color w:val="595959" w:themeColor="text1" w:themeTint="A6"/>
      </w:rPr>
      <w:tblPr/>
      <w:tcPr>
        <w:shd w:val="clear" w:color="auto" w:fill="F2F2F2" w:themeFill="background1" w:themeFillShade="F2"/>
      </w:tcPr>
    </w:tblStylePr>
    <w:tblStylePr w:type="band1Vert">
      <w:rPr>
        <w:color w:val="595959" w:themeColor="text1" w:themeTint="A6"/>
      </w:rPr>
      <w:tblPr/>
      <w:tcPr>
        <w:shd w:val="clear" w:color="auto" w:fill="F2F2F2" w:themeFill="background1" w:themeFillShade="F2"/>
      </w:tcPr>
    </w:tblStylePr>
    <w:tblStylePr w:type="band2Vert">
      <w:rPr>
        <w:color w:val="595959" w:themeColor="text1" w:themeTint="A6"/>
      </w:rPr>
    </w:tblStylePr>
    <w:tblStylePr w:type="band1Horz">
      <w:rPr>
        <w:color w:val="595959" w:themeColor="text1" w:themeTint="A6"/>
      </w:rPr>
      <w:tblPr/>
      <w:tcPr>
        <w:shd w:val="clear" w:color="auto" w:fill="F2F2F2" w:themeFill="background1" w:themeFillShade="F2"/>
      </w:tcPr>
    </w:tblStylePr>
    <w:tblStylePr w:type="band2Horz">
      <w:rPr>
        <w:color w:val="595959" w:themeColor="text1" w:themeTint="A6"/>
      </w:rPr>
    </w:tblStylePr>
  </w:style>
  <w:style w:type="paragraph" w:customStyle="1" w:styleId="22A-Tablebullet1">
    <w:name w:val="22A-Table bullet 1"/>
    <w:basedOn w:val="Normal"/>
    <w:qFormat/>
    <w:rsid w:val="00B24E4C"/>
    <w:pPr>
      <w:numPr>
        <w:numId w:val="28"/>
      </w:numPr>
      <w:spacing w:before="60" w:after="60"/>
      <w:ind w:left="397" w:right="113" w:hanging="284"/>
    </w:pPr>
    <w:rPr>
      <w:rFonts w:ascii="Arial" w:hAnsi="Arial"/>
      <w:color w:val="595959" w:themeColor="text1" w:themeTint="A6"/>
      <w:sz w:val="20"/>
      <w:szCs w:val="20"/>
      <w:lang w:eastAsia="en-GB"/>
    </w:rPr>
  </w:style>
  <w:style w:type="character" w:customStyle="1" w:styleId="01-Bold">
    <w:name w:val="01-Bold"/>
    <w:basedOn w:val="DefaultParagraphFont"/>
    <w:uiPriority w:val="1"/>
    <w:qFormat/>
    <w:rsid w:val="00B24E4C"/>
    <w:rPr>
      <w:b/>
    </w:rPr>
  </w:style>
  <w:style w:type="paragraph" w:styleId="FootnoteText">
    <w:name w:val="footnote text"/>
    <w:basedOn w:val="Normal"/>
    <w:link w:val="FootnoteTextChar"/>
    <w:uiPriority w:val="99"/>
    <w:semiHidden/>
    <w:unhideWhenUsed/>
    <w:rsid w:val="0025714F"/>
    <w:rPr>
      <w:sz w:val="20"/>
      <w:szCs w:val="20"/>
    </w:rPr>
  </w:style>
  <w:style w:type="character" w:customStyle="1" w:styleId="FootnoteTextChar">
    <w:name w:val="Footnote Text Char"/>
    <w:basedOn w:val="DefaultParagraphFont"/>
    <w:link w:val="FootnoteText"/>
    <w:uiPriority w:val="99"/>
    <w:semiHidden/>
    <w:rsid w:val="0025714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5714F"/>
    <w:rPr>
      <w:vertAlign w:val="superscript"/>
    </w:rPr>
  </w:style>
  <w:style w:type="character" w:styleId="CommentReference">
    <w:name w:val="annotation reference"/>
    <w:basedOn w:val="DefaultParagraphFont"/>
    <w:uiPriority w:val="99"/>
    <w:semiHidden/>
    <w:unhideWhenUsed/>
    <w:rsid w:val="00091F96"/>
    <w:rPr>
      <w:sz w:val="16"/>
      <w:szCs w:val="16"/>
    </w:rPr>
  </w:style>
  <w:style w:type="paragraph" w:styleId="CommentText">
    <w:name w:val="annotation text"/>
    <w:basedOn w:val="Normal"/>
    <w:link w:val="CommentTextChar"/>
    <w:uiPriority w:val="99"/>
    <w:semiHidden/>
    <w:unhideWhenUsed/>
    <w:rsid w:val="00091F96"/>
    <w:rPr>
      <w:sz w:val="20"/>
      <w:szCs w:val="20"/>
    </w:rPr>
  </w:style>
  <w:style w:type="character" w:customStyle="1" w:styleId="CommentTextChar">
    <w:name w:val="Comment Text Char"/>
    <w:basedOn w:val="DefaultParagraphFont"/>
    <w:link w:val="CommentText"/>
    <w:uiPriority w:val="99"/>
    <w:semiHidden/>
    <w:rsid w:val="00091F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1F96"/>
    <w:rPr>
      <w:b/>
      <w:bCs/>
    </w:rPr>
  </w:style>
  <w:style w:type="character" w:customStyle="1" w:styleId="CommentSubjectChar">
    <w:name w:val="Comment Subject Char"/>
    <w:basedOn w:val="CommentTextChar"/>
    <w:link w:val="CommentSubject"/>
    <w:uiPriority w:val="99"/>
    <w:semiHidden/>
    <w:rsid w:val="00091F96"/>
    <w:rPr>
      <w:rFonts w:ascii="Times New Roman" w:hAnsi="Times New Roman" w:cs="Times New Roman"/>
      <w:b/>
      <w:bCs/>
      <w:sz w:val="20"/>
      <w:szCs w:val="20"/>
    </w:rPr>
  </w:style>
  <w:style w:type="paragraph" w:styleId="Revision">
    <w:name w:val="Revision"/>
    <w:hidden/>
    <w:uiPriority w:val="99"/>
    <w:semiHidden/>
    <w:rsid w:val="00E5691C"/>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C4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cipfascotland.org.uk/technical/lasaac.cfm" TargetMode="External"/><Relationship Id="rId26" Type="http://schemas.openxmlformats.org/officeDocument/2006/relationships/hyperlink" Target="http://www.legislation.gov.uk/ukpga/1973/65/section/93" TargetMode="External"/><Relationship Id="rId39" Type="http://schemas.openxmlformats.org/officeDocument/2006/relationships/hyperlink" Target="https://www.gov.scot/publications/local-government-finance-circular-72016-loans-fund-accounting-guidance/" TargetMode="External"/><Relationship Id="rId3" Type="http://schemas.openxmlformats.org/officeDocument/2006/relationships/customXml" Target="../customXml/item3.xml"/><Relationship Id="rId21" Type="http://schemas.openxmlformats.org/officeDocument/2006/relationships/hyperlink" Target="http://www.legislation.gov.uk/ukpga/1973/65/section/93" TargetMode="External"/><Relationship Id="rId34" Type="http://schemas.openxmlformats.org/officeDocument/2006/relationships/hyperlink" Target="https://www.gov.scot/publications/local-government-finance-circular-32018/" TargetMode="External"/><Relationship Id="rId42" Type="http://schemas.openxmlformats.org/officeDocument/2006/relationships/hyperlink" Target="https://www.gov.scot/publications/local-government-finance-circular-22018/" TargetMode="External"/><Relationship Id="rId47" Type="http://schemas.openxmlformats.org/officeDocument/2006/relationships/hyperlink" Target="https://www.gov.scot/publications/local-government-finance-circular-4-2019-capital-receipts-to-fund-transformational-projects/" TargetMode="External"/><Relationship Id="rId50"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https://www.gov.scot/publications/local-government-finance-circular-4-2019-capital-receipts-to-fund-transformational-projects/" TargetMode="External"/><Relationship Id="rId33" Type="http://schemas.openxmlformats.org/officeDocument/2006/relationships/hyperlink" Target="https://www.cipfa.org/policy-and-guidance/technical-panels-and-boards/local-authority-scotland-accounts-advisory-committee/guidance-and-publications/advisory-notice-on-accounting-for-internal-transactions-and-insurance-arrangements" TargetMode="External"/><Relationship Id="rId38" Type="http://schemas.openxmlformats.org/officeDocument/2006/relationships/hyperlink" Target="https://www.gov.scot/collections/local-government-finance-circulars/" TargetMode="External"/><Relationship Id="rId46" Type="http://schemas.openxmlformats.org/officeDocument/2006/relationships/hyperlink" Target="https://www.gov.scot/publications/local-government-finance-circular-1-2019-accounting-for-equal-pay/"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legislation.gov.uk/asp/2003/1/section/12" TargetMode="External"/><Relationship Id="rId29" Type="http://schemas.openxmlformats.org/officeDocument/2006/relationships/hyperlink" Target="https://www.gov.scot/publications/local-government-finance-circular-72016-loans-fund-accounting-guidance/" TargetMode="External"/><Relationship Id="rId41" Type="http://schemas.openxmlformats.org/officeDocument/2006/relationships/hyperlink" Target="https://www.gov.scot/publications/local-government-finance-circular-7-2018-financial-instrument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scot/publications/local-government-finance-circular-1-2019-accounting-for-equal-pay/" TargetMode="External"/><Relationship Id="rId32" Type="http://schemas.openxmlformats.org/officeDocument/2006/relationships/hyperlink" Target="https://www.legislation.gov.uk/ukpga/1975/30/schedule/3" TargetMode="External"/><Relationship Id="rId37" Type="http://schemas.openxmlformats.org/officeDocument/2006/relationships/hyperlink" Target="https://www.gov.scot/publications/local-government-finance-circular-4-2019-capital-receipts-to-fund-transformational-projects/" TargetMode="External"/><Relationship Id="rId40" Type="http://schemas.openxmlformats.org/officeDocument/2006/relationships/hyperlink" Target="https://www.gov.scot/publications/local-government-finance-circular-32018/" TargetMode="External"/><Relationship Id="rId45" Type="http://schemas.openxmlformats.org/officeDocument/2006/relationships/hyperlink" Target="https://www.gov.scot/publications/local-government-finance-circular-1-2019-accounting-for-equal-pay/"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https://www.gov.scot/publications/local-government-finance-circular-7-2018-financial-instruments/" TargetMode="External"/><Relationship Id="rId28" Type="http://schemas.openxmlformats.org/officeDocument/2006/relationships/hyperlink" Target="https://www.legislation.gov.uk/ukpga/1975/30/schedule/3" TargetMode="External"/><Relationship Id="rId36" Type="http://schemas.openxmlformats.org/officeDocument/2006/relationships/hyperlink" Target="https://www.gov.scot/publications/local-government-finance-circular-7-2018-financial-instruments/" TargetMode="External"/><Relationship Id="rId49"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mailto:lasaac@cipfa.org" TargetMode="External"/><Relationship Id="rId31" Type="http://schemas.openxmlformats.org/officeDocument/2006/relationships/hyperlink" Target="https://www.legislation.gov.uk/ukpga/1975/30/schedule/3" TargetMode="External"/><Relationship Id="rId44" Type="http://schemas.openxmlformats.org/officeDocument/2006/relationships/hyperlink" Target="https://www.cipfa.org/policy-and-guidance/technical-panels-and-boards/local-authority-scotland-accounts-advisory-committee/guidance-and-publications/guidance-on-ifrs-9-financial-instruments_earmarking-of-gains-not-available-to-fund-services"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legislation.gov.uk/ukpga/1975/30/schedule/3" TargetMode="External"/><Relationship Id="rId27" Type="http://schemas.openxmlformats.org/officeDocument/2006/relationships/hyperlink" Target="http://www.legislation.gov.uk/ukpga/1973/65/section/106" TargetMode="External"/><Relationship Id="rId30" Type="http://schemas.openxmlformats.org/officeDocument/2006/relationships/hyperlink" Target="https://www.gov.scot/publications/local-government-finance-circular-72016-loans-fund-accounting-guidance/" TargetMode="External"/><Relationship Id="rId35" Type="http://schemas.openxmlformats.org/officeDocument/2006/relationships/hyperlink" Target="https://www.gov.scot/publications/local-government-finance-circular-1-2019-accounting-for-equal-pay/" TargetMode="External"/><Relationship Id="rId43" Type="http://schemas.openxmlformats.org/officeDocument/2006/relationships/hyperlink" Target="https://www.gov.scot/publications/local-government-finance-circular-42016-accounting-for-pension-post-employment-benefits/" TargetMode="External"/><Relationship Id="rId48" Type="http://schemas.openxmlformats.org/officeDocument/2006/relationships/hyperlink" Target="https://www.gov.scot/publications/local-government-finance-circular-7-2018-financial-instruments/" TargetMode="External"/><Relationship Id="rId8" Type="http://schemas.openxmlformats.org/officeDocument/2006/relationships/styles" Target="styles.xml"/><Relationship Id="rId51"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la/1974/30/contents/enacted" TargetMode="External"/><Relationship Id="rId3" Type="http://schemas.openxmlformats.org/officeDocument/2006/relationships/hyperlink" Target="http://www.legislation.gov.uk/ssi/2004/29/made" TargetMode="External"/><Relationship Id="rId7" Type="http://schemas.openxmlformats.org/officeDocument/2006/relationships/hyperlink" Target="http://www.legislation.gov.uk/ukla/1974/8/contents/enacted" TargetMode="External"/><Relationship Id="rId2" Type="http://schemas.openxmlformats.org/officeDocument/2006/relationships/hyperlink" Target="http://www.legislation.gov.uk/asp/2003/1/section/35" TargetMode="External"/><Relationship Id="rId1" Type="http://schemas.openxmlformats.org/officeDocument/2006/relationships/hyperlink" Target="http://www.legislation.gov.uk/asp/2014/9/contents/enacted" TargetMode="External"/><Relationship Id="rId6" Type="http://schemas.openxmlformats.org/officeDocument/2006/relationships/hyperlink" Target="http://www.legislation.gov.uk/ukpga/1987/26/schedule/15" TargetMode="External"/><Relationship Id="rId11" Type="http://schemas.openxmlformats.org/officeDocument/2006/relationships/hyperlink" Target="http://www.legislation.gov.uk/ukpga/1987/26/schedule/15" TargetMode="External"/><Relationship Id="rId5" Type="http://schemas.openxmlformats.org/officeDocument/2006/relationships/hyperlink" Target="http://www.legislation.gov.uk/ukpga/1987/26/part/X" TargetMode="External"/><Relationship Id="rId10" Type="http://schemas.openxmlformats.org/officeDocument/2006/relationships/hyperlink" Target="http://www.legislation.gov.uk/ukpga/1987/26/part/X" TargetMode="External"/><Relationship Id="rId4" Type="http://schemas.openxmlformats.org/officeDocument/2006/relationships/hyperlink" Target="http://www.legislation.gov.uk/ukpga/1987/26/contents" TargetMode="External"/><Relationship Id="rId9" Type="http://schemas.openxmlformats.org/officeDocument/2006/relationships/hyperlink" Target="http://www.legislation.gov.uk/ukpga/1987/26/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f26e51-a65a-41ce-be09-e93be5a6c1b5">
      <Value>5</Value>
      <Value>2</Value>
      <Value>1</Value>
    </TaxCatchAll>
    <pcbab628bf1f42f98723a759df8ca16e xmlns="73f26e51-a65a-41ce-be09-e93be5a6c1b5">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653dd377-ab6e-4d8f-beb4-d731c3e5e708</TermId>
        </TermInfo>
      </Terms>
    </pcbab628bf1f42f98723a759df8ca16e>
    <m823e58b371e49d09bcd69a88b1c2ce4 xmlns="73f26e51-a65a-41ce-be09-e93be5a6c1b5">
      <Terms xmlns="http://schemas.microsoft.com/office/infopath/2007/PartnerControls">
        <TermInfo xmlns="http://schemas.microsoft.com/office/infopath/2007/PartnerControls">
          <TermName xmlns="http://schemas.microsoft.com/office/infopath/2007/PartnerControls">In Progress</TermName>
          <TermId xmlns="http://schemas.microsoft.com/office/infopath/2007/PartnerControls">cd808db4-6a31-4610-b877-1f9364462fe0</TermId>
        </TermInfo>
      </Terms>
    </m823e58b371e49d09bcd69a88b1c2ce4>
    <TaxKeywordTaxHTField xmlns="73f26e51-a65a-41ce-be09-e93be5a6c1b5">
      <Terms xmlns="http://schemas.microsoft.com/office/infopath/2007/PartnerControls"/>
    </TaxKeywordTaxHTField>
    <TBN xmlns="2fc9121d-ef96-4566-b5a3-0e2e08bdffd2" xsi:nil="true"/>
    <Calendar_x0020_Year xmlns="2fc9121d-ef96-4566-b5a3-0e2e08bdffd2" xsi:nil="true"/>
    <CategoryDescription xmlns="http://schemas.microsoft.com/sharepoint.v3" xsi:nil="true"/>
    <Grant_x0020_Note xmlns="2fc9121d-ef96-4566-b5a3-0e2e08bdffd2" xsi:nil="true"/>
    <Audit_x0020_Year xmlns="2fc9121d-ef96-4566-b5a3-0e2e08bdffd2" xsi:nil="true"/>
    <j9e97b901bf54e0b93012ac3f362a9d9 xmlns="73f26e51-a65a-41ce-be09-e93be5a6c1b5">
      <Terms xmlns="http://schemas.microsoft.com/office/infopath/2007/PartnerControls"/>
    </j9e97b901bf54e0b93012ac3f362a9d9>
    <Data1 xmlns="2fc9121d-ef96-4566-b5a3-0e2e08bdffd2" xsi:nil="true"/>
    <k8e16aff76864e2f951abb3e671768fa xmlns="73f26e51-a65a-41ce-be09-e93be5a6c1b5">
      <Terms xmlns="http://schemas.microsoft.com/office/infopath/2007/PartnerControls">
        <TermInfo xmlns="http://schemas.microsoft.com/office/infopath/2007/PartnerControls">
          <TermName xmlns="http://schemas.microsoft.com/office/infopath/2007/PartnerControls">Professional Support</TermName>
          <TermId xmlns="http://schemas.microsoft.com/office/infopath/2007/PartnerControls">1ecdab4c-d596-45dc-a2df-b85988c4d043</TermId>
        </TermInfo>
      </Terms>
    </k8e16aff76864e2f951abb3e671768fa>
    <Financial_x0020_Year xmlns="2fc9121d-ef96-4566-b5a3-0e2e08bdff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T_Standard" ma:contentTypeID="0x0101002B71BA3BFA6C0843BA0B3254B5AA3013010100134A29BF2A2EF643A8535A103142DC27" ma:contentTypeVersion="19" ma:contentTypeDescription="Default Audit Scotland content type no disposal policy set as will be managed by policy and labels. **  On prem version has 18 month retention policy for documents and 7 years for records. **" ma:contentTypeScope="" ma:versionID="a31d0167d0a57f97b8ad5d125e731033">
  <xsd:schema xmlns:xsd="http://www.w3.org/2001/XMLSchema" xmlns:xs="http://www.w3.org/2001/XMLSchema" xmlns:p="http://schemas.microsoft.com/office/2006/metadata/properties" xmlns:ns2="http://schemas.microsoft.com/sharepoint.v3" xmlns:ns3="73f26e51-a65a-41ce-be09-e93be5a6c1b5" xmlns:ns4="2fc9121d-ef96-4566-b5a3-0e2e08bdffd2" xmlns:ns6="e94483c3-5ffd-4d56-a536-bab65bcbf14b" targetNamespace="http://schemas.microsoft.com/office/2006/metadata/properties" ma:root="true" ma:fieldsID="4b97b30069f41fd203107b02b15c7777" ns2:_="" ns3:_="" ns4:_="" ns6:_="">
    <xsd:import namespace="http://schemas.microsoft.com/sharepoint.v3"/>
    <xsd:import namespace="73f26e51-a65a-41ce-be09-e93be5a6c1b5"/>
    <xsd:import namespace="2fc9121d-ef96-4566-b5a3-0e2e08bdffd2"/>
    <xsd:import namespace="e94483c3-5ffd-4d56-a536-bab65bcbf14b"/>
    <xsd:element name="properties">
      <xsd:complexType>
        <xsd:sequence>
          <xsd:element name="documentManagement">
            <xsd:complexType>
              <xsd:all>
                <xsd:element ref="ns2:CategoryDescription" minOccurs="0"/>
                <xsd:element ref="ns3:pcbab628bf1f42f98723a759df8ca16e" minOccurs="0"/>
                <xsd:element ref="ns3:TaxCatchAll" minOccurs="0"/>
                <xsd:element ref="ns3:TaxCatchAllLabel" minOccurs="0"/>
                <xsd:element ref="ns3:k8e16aff76864e2f951abb3e671768fa" minOccurs="0"/>
                <xsd:element ref="ns3:m823e58b371e49d09bcd69a88b1c2ce4" minOccurs="0"/>
                <xsd:element ref="ns4:Audit_x0020_Year" minOccurs="0"/>
                <xsd:element ref="ns4:Grant_x0020_Note" minOccurs="0"/>
                <xsd:element ref="ns3:TaxKeywordTaxHTField" minOccurs="0"/>
                <xsd:element ref="ns3:j9e97b901bf54e0b93012ac3f362a9d9" minOccurs="0"/>
                <xsd:element ref="ns4:Calendar_x0020_Year" minOccurs="0"/>
                <xsd:element ref="ns4:TBN" minOccurs="0"/>
                <xsd:element ref="ns4:Data1" minOccurs="0"/>
                <xsd:element ref="ns4:Financial_x0020_Year" minOccurs="0"/>
                <xsd:element ref="ns6:MediaServiceMetadata" minOccurs="0"/>
                <xsd:element ref="ns6:MediaServiceFastMetadata" minOccurs="0"/>
                <xsd:element ref="ns6:MediaServiceAutoTags" minOccurs="0"/>
                <xsd:element ref="ns6:MediaServiceGenerationTime" minOccurs="0"/>
                <xsd:element ref="ns6:MediaServiceEventHashCode"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description="A short summary of the information contents. Retained for legacy purposes." ma:internalName="Category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26e51-a65a-41ce-be09-e93be5a6c1b5" elementFormDefault="qualified">
    <xsd:import namespace="http://schemas.microsoft.com/office/2006/documentManagement/types"/>
    <xsd:import namespace="http://schemas.microsoft.com/office/infopath/2007/PartnerControls"/>
    <xsd:element name="pcbab628bf1f42f98723a759df8ca16e" ma:index="8" ma:taxonomy="true" ma:internalName="pcbab628bf1f42f98723a759df8ca16e" ma:taxonomyFieldName="Classification" ma:displayName="Classification" ma:readOnly="false" ma:default="1;#Public|653dd377-ab6e-4d8f-beb4-d731c3e5e708" ma:fieldId="{9cbab628-bf1f-42f9-8723-a759df8ca16e}" ma:sspId="1600c076-bcf7-41be-9e19-69f1fc815d70" ma:termSetId="39710258-30fe-4605-9813-cbc16f1010a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d310297-e88a-4ec2-8c5b-ba6c34653a0c}" ma:internalName="TaxCatchAll" ma:showField="CatchAllData" ma:web="2fc9121d-ef96-4566-b5a3-0e2e08bdffd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d310297-e88a-4ec2-8c5b-ba6c34653a0c}" ma:internalName="TaxCatchAllLabel" ma:readOnly="true" ma:showField="CatchAllDataLabel" ma:web="2fc9121d-ef96-4566-b5a3-0e2e08bdffd2">
      <xsd:complexType>
        <xsd:complexContent>
          <xsd:extension base="dms:MultiChoiceLookup">
            <xsd:sequence>
              <xsd:element name="Value" type="dms:Lookup" maxOccurs="unbounded" minOccurs="0" nillable="true"/>
            </xsd:sequence>
          </xsd:extension>
        </xsd:complexContent>
      </xsd:complexType>
    </xsd:element>
    <xsd:element name="k8e16aff76864e2f951abb3e671768fa" ma:index="13" ma:taxonomy="true" ma:internalName="k8e16aff76864e2f951abb3e671768fa" ma:taxonomyFieldName="Information_x0020_Owner" ma:displayName="Information Owner" ma:readOnly="false" ma:default="5;#Professional Support|1ecdab4c-d596-45dc-a2df-b85988c4d043" ma:fieldId="{48e16aff-7686-4e2f-951a-bb3e671768fa}" ma:sspId="1600c076-bcf7-41be-9e19-69f1fc815d70" ma:termSetId="53369e55-e008-436f-9d85-4123d8b771a5" ma:anchorId="00000000-0000-0000-0000-000000000000" ma:open="false" ma:isKeyword="false">
      <xsd:complexType>
        <xsd:sequence>
          <xsd:element ref="pc:Terms" minOccurs="0" maxOccurs="1"/>
        </xsd:sequence>
      </xsd:complexType>
    </xsd:element>
    <xsd:element name="m823e58b371e49d09bcd69a88b1c2ce4" ma:index="15" nillable="true" ma:taxonomy="true" ma:internalName="m823e58b371e49d09bcd69a88b1c2ce4" ma:taxonomyFieldName="Document_x0020_Status" ma:displayName="Document Status" ma:default="2;#In Progress|cd808db4-6a31-4610-b877-1f9364462fe0" ma:fieldId="{6823e58b-371e-49d0-9bcd-69a88b1c2ce4}" ma:sspId="1600c076-bcf7-41be-9e19-69f1fc815d70" ma:termSetId="6b2ad3a2-fd70-4ded-a176-3092ca0db6b0" ma:anchorId="00000000-0000-0000-0000-000000000000" ma:open="false" ma:isKeyword="false">
      <xsd:complexType>
        <xsd:sequence>
          <xsd:element ref="pc:Terms" minOccurs="0" maxOccurs="1"/>
        </xsd:sequence>
      </xsd:complexType>
    </xsd:element>
    <xsd:element name="TaxKeywordTaxHTField" ma:index="20" nillable="true" ma:taxonomy="true" ma:internalName="TaxKeywordTaxHTField" ma:taxonomyFieldName="TaxKeyword" ma:displayName="Enterprise Keywords" ma:fieldId="{23f27201-bee3-471e-b2e7-b64fd8b7ca38}" ma:taxonomyMulti="true" ma:sspId="1600c076-bcf7-41be-9e19-69f1fc815d70" ma:termSetId="00000000-0000-0000-0000-000000000000" ma:anchorId="00000000-0000-0000-0000-000000000000" ma:open="true" ma:isKeyword="true">
      <xsd:complexType>
        <xsd:sequence>
          <xsd:element ref="pc:Terms" minOccurs="0" maxOccurs="1"/>
        </xsd:sequence>
      </xsd:complexType>
    </xsd:element>
    <xsd:element name="j9e97b901bf54e0b93012ac3f362a9d9" ma:index="22" nillable="true" ma:taxonomy="true" ma:internalName="j9e97b901bf54e0b93012ac3f362a9d9" ma:taxonomyFieldName="Audit" ma:displayName="Audit" ma:default="" ma:fieldId="{39e97b90-1bf5-4e0b-9301-2ac3f362a9d9}" ma:sspId="1600c076-bcf7-41be-9e19-69f1fc815d70" ma:termSetId="448cbcad-439b-4d1d-baaf-82090fe12f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9121d-ef96-4566-b5a3-0e2e08bdffd2" elementFormDefault="qualified">
    <xsd:import namespace="http://schemas.microsoft.com/office/2006/documentManagement/types"/>
    <xsd:import namespace="http://schemas.microsoft.com/office/infopath/2007/PartnerControls"/>
    <xsd:element name="Audit_x0020_Year" ma:index="17" nillable="true" ma:displayName="Audit Year" ma:internalName="Audit_x0020_Year">
      <xsd:simpleType>
        <xsd:restriction base="dms:Text">
          <xsd:maxLength value="255"/>
        </xsd:restriction>
      </xsd:simpleType>
    </xsd:element>
    <xsd:element name="Grant_x0020_Note" ma:index="18" nillable="true" ma:displayName="Grant Note" ma:internalName="Grant_x0020_Note">
      <xsd:simpleType>
        <xsd:restriction base="dms:Text">
          <xsd:maxLength value="255"/>
        </xsd:restriction>
      </xsd:simpleType>
    </xsd:element>
    <xsd:element name="Calendar_x0020_Year" ma:index="24" nillable="true" ma:displayName="Calendar Year" ma:internalName="Calendar_x0020_Year">
      <xsd:simpleType>
        <xsd:restriction base="dms:Text">
          <xsd:maxLength value="255"/>
        </xsd:restriction>
      </xsd:simpleType>
    </xsd:element>
    <xsd:element name="TBN" ma:index="25" nillable="true" ma:displayName="TBN" ma:internalName="TBN">
      <xsd:simpleType>
        <xsd:restriction base="dms:Text">
          <xsd:maxLength value="255"/>
        </xsd:restriction>
      </xsd:simpleType>
    </xsd:element>
    <xsd:element name="Data1" ma:index="26" nillable="true" ma:displayName="Date" ma:format="DateOnly" ma:internalName="Data1" ma:readOnly="false">
      <xsd:simpleType>
        <xsd:restriction base="dms:DateTime"/>
      </xsd:simpleType>
    </xsd:element>
    <xsd:element name="Financial_x0020_Year" ma:index="27" nillable="true" ma:displayName="Financial Year" ma:internalName="Financial_x0020_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4483c3-5ffd-4d56-a536-bab65bcbf14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9"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600c076-bcf7-41be-9e19-69f1fc815d70" ContentTypeId="0x0101002B71BA3BFA6C0843BA0B3254B5AA3013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53D26341A57B383EE0540010E0463CCA" version="1.0.0">
  <systemFields>
    <field name="Objective-Id">
      <value order="0">A22684985</value>
    </field>
    <field name="Objective-Title">
      <value order="0">2019 - LASAAC - Guidance on IFRS9 Financial Instruments disclosures - draft for consultation</value>
    </field>
    <field name="Objective-Description">
      <value order="0"/>
    </field>
    <field name="Objective-CreationStamp">
      <value order="0">2018-11-14T10:33:43Z</value>
    </field>
    <field name="Objective-IsApproved">
      <value order="0">false</value>
    </field>
    <field name="Objective-IsPublished">
      <value order="0">true</value>
    </field>
    <field name="Objective-DatePublished">
      <value order="0">2019-01-22T16:30:12Z</value>
    </field>
    <field name="Objective-ModificationStamp">
      <value order="0">2019-01-22T16:30:12Z</value>
    </field>
    <field name="Objective-Owner">
      <value order="0">Black, Hazel H (u208374)</value>
    </field>
    <field name="Objective-Path">
      <value order="0">Objective Global Folder:SG File Plan:Government, politics and public administration:Local government:Council performance:Committees and groups: Council performance:Local Authority Scotland Accounts Advisory Committee (LASAAC): Papers and minutes: 2013-2018</value>
    </field>
    <field name="Objective-Parent">
      <value order="0">Local Authority Scotland Accounts Advisory Committee (LASAAC): Papers and minutes: 2013-2018</value>
    </field>
    <field name="Objective-State">
      <value order="0">Published</value>
    </field>
    <field name="Objective-VersionId">
      <value order="0">vA33062952</value>
    </field>
    <field name="Objective-Version">
      <value order="0">6.0</value>
    </field>
    <field name="Objective-VersionNumber">
      <value order="0">7</value>
    </field>
    <field name="Objective-VersionComment">
      <value order="0">Consultation version</value>
    </field>
    <field name="Objective-FileNumber">
      <value order="0">EXCOMM/2826</value>
    </field>
    <field name="Objective-Classification">
      <value order="0">Not Protectively Marked</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A321-68DD-44A2-9EF6-4DAAF029E7FE}">
  <ds:schemaRefs>
    <ds:schemaRef ds:uri="http://schemas.microsoft.com/office/2006/metadata/properties"/>
    <ds:schemaRef ds:uri="http://schemas.microsoft.com/office/infopath/2007/PartnerControls"/>
    <ds:schemaRef ds:uri="73f26e51-a65a-41ce-be09-e93be5a6c1b5"/>
    <ds:schemaRef ds:uri="2fc9121d-ef96-4566-b5a3-0e2e08bdffd2"/>
    <ds:schemaRef ds:uri="http://schemas.microsoft.com/sharepoint.v3"/>
  </ds:schemaRefs>
</ds:datastoreItem>
</file>

<file path=customXml/itemProps2.xml><?xml version="1.0" encoding="utf-8"?>
<ds:datastoreItem xmlns:ds="http://schemas.openxmlformats.org/officeDocument/2006/customXml" ds:itemID="{A5C14711-E2CA-4DFA-9B22-8390BE261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f26e51-a65a-41ce-be09-e93be5a6c1b5"/>
    <ds:schemaRef ds:uri="2fc9121d-ef96-4566-b5a3-0e2e08bdffd2"/>
    <ds:schemaRef ds:uri="e94483c3-5ffd-4d56-a536-bab65bcbf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F0B05-4D83-4E6E-B7F5-FD358EA86486}">
  <ds:schemaRefs>
    <ds:schemaRef ds:uri="Microsoft.SharePoint.Taxonomy.ContentTypeSync"/>
  </ds:schemaRefs>
</ds:datastoreItem>
</file>

<file path=customXml/itemProps4.xml><?xml version="1.0" encoding="utf-8"?>
<ds:datastoreItem xmlns:ds="http://schemas.openxmlformats.org/officeDocument/2006/customXml" ds:itemID="{6EEDDBAD-3860-4600-9441-2E63913F6CFE}">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6.xml><?xml version="1.0" encoding="utf-8"?>
<ds:datastoreItem xmlns:ds="http://schemas.openxmlformats.org/officeDocument/2006/customXml" ds:itemID="{86CC199E-5DCE-4B73-A627-2D576822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5865</Words>
  <Characters>33436</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pobrien@audit-scotland.gov.uk</dc:creator>
  <cp:keywords/>
  <dc:description/>
  <cp:lastModifiedBy>Bermingham, Alan</cp:lastModifiedBy>
  <cp:revision>2</cp:revision>
  <cp:lastPrinted>2020-01-15T10:07:00Z</cp:lastPrinted>
  <dcterms:created xsi:type="dcterms:W3CDTF">2020-12-01T09:43:00Z</dcterms:created>
  <dcterms:modified xsi:type="dcterms:W3CDTF">2020-12-01T09:43:00Z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A22684985</vt:lpwstr>
  </property>
  <property fmtid="{D5CDD505-2E9C-101B-9397-08002B2CF9AE}" pid="4" name="Objective-Title">
    <vt:lpwstr>2019 - LASAAC - Guidance on IFRS9 Financial Instruments disclosures - draft for consultation</vt:lpwstr>
  </property>
  <property fmtid="{D5CDD505-2E9C-101B-9397-08002B2CF9AE}" pid="5" name="Objective-Description">
    <vt:lpwstr/>
  </property>
  <property fmtid="{D5CDD505-2E9C-101B-9397-08002B2CF9AE}" pid="6" name="Objective-CreationStamp">
    <vt:filetime>2018-11-14T10:33:55Z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2019-01-22T16:30:12Z</vt:filetime>
  </property>
  <property fmtid="{D5CDD505-2E9C-101B-9397-08002B2CF9AE}" pid="10" name="Objective-ModificationStamp">
    <vt:filetime>2019-01-22T16:30:12Z</vt:filetime>
  </property>
  <property fmtid="{D5CDD505-2E9C-101B-9397-08002B2CF9AE}" pid="11" name="Objective-Owner">
    <vt:lpwstr>Black, Hazel H (u208374)</vt:lpwstr>
  </property>
  <property fmtid="{D5CDD505-2E9C-101B-9397-08002B2CF9AE}" pid="12" name="Objective-Path">
    <vt:lpwstr>Objective Global Folder:SG File Plan:Government, politics and public administration:Local government:Council performance:Committees and groups: Council performance:Local Authority Scotland Accounts Advisory Committee (LASAAC): Papers and minutes: 2013-201</vt:lpwstr>
  </property>
  <property fmtid="{D5CDD505-2E9C-101B-9397-08002B2CF9AE}" pid="13" name="Objective-Parent">
    <vt:lpwstr>Local Authority Scotland Accounts Advisory Committee (LASAAC): Papers and minutes: 2013-2018</vt:lpwstr>
  </property>
  <property fmtid="{D5CDD505-2E9C-101B-9397-08002B2CF9AE}" pid="14" name="Objective-State">
    <vt:lpwstr>Published</vt:lpwstr>
  </property>
  <property fmtid="{D5CDD505-2E9C-101B-9397-08002B2CF9AE}" pid="15" name="Objective-VersionId">
    <vt:lpwstr>vA33062952</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Consultation version</vt:lpwstr>
  </property>
  <property fmtid="{D5CDD505-2E9C-101B-9397-08002B2CF9AE}" pid="19" name="Objective-FileNumber">
    <vt:lpwstr>EXCOMM/2826</vt:lpwstr>
  </property>
  <property fmtid="{D5CDD505-2E9C-101B-9397-08002B2CF9AE}" pid="20" name="Objective-Classification">
    <vt:lpwstr>[Inherited - Not Protectively Marked]</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ContentTypeId">
    <vt:lpwstr>0x0101002B71BA3BFA6C0843BA0B3254B5AA3013010100134A29BF2A2EF643A8535A103142DC27</vt:lpwstr>
  </property>
  <property fmtid="{D5CDD505-2E9C-101B-9397-08002B2CF9AE}" pid="34" name="Classification">
    <vt:lpwstr>1;#Public|653dd377-ab6e-4d8f-beb4-d731c3e5e708</vt:lpwstr>
  </property>
  <property fmtid="{D5CDD505-2E9C-101B-9397-08002B2CF9AE}" pid="35" name="Document Status">
    <vt:lpwstr>2;#In Progress|cd808db4-6a31-4610-b877-1f9364462fe0</vt:lpwstr>
  </property>
  <property fmtid="{D5CDD505-2E9C-101B-9397-08002B2CF9AE}" pid="36" name="TaxKeyword">
    <vt:lpwstr/>
  </property>
  <property fmtid="{D5CDD505-2E9C-101B-9397-08002B2CF9AE}" pid="37" name="Information Owner">
    <vt:lpwstr>5;#Professional Support|1ecdab4c-d596-45dc-a2df-b85988c4d043</vt:lpwstr>
  </property>
  <property fmtid="{D5CDD505-2E9C-101B-9397-08002B2CF9AE}" pid="38" name="Audit">
    <vt:lpwstr/>
  </property>
</Properties>
</file>