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74" w:rsidRDefault="00BC0E74" w:rsidP="006348F0">
      <w:pPr>
        <w:jc w:val="center"/>
        <w:rPr>
          <w:rFonts w:ascii="Verdana" w:hAnsi="Verdana"/>
          <w:b/>
          <w:sz w:val="28"/>
          <w:szCs w:val="28"/>
        </w:rPr>
      </w:pPr>
      <w:r w:rsidRPr="003D10C1">
        <w:rPr>
          <w:rFonts w:ascii="Verdana" w:hAnsi="Verdana"/>
          <w:b/>
          <w:noProof/>
          <w:sz w:val="20"/>
          <w:lang w:eastAsia="en-GB"/>
        </w:rPr>
        <w:drawing>
          <wp:anchor distT="0" distB="0" distL="114300" distR="114300" simplePos="0" relativeHeight="251659264" behindDoc="1" locked="0" layoutInCell="1" allowOverlap="1" wp14:anchorId="1A1843E5" wp14:editId="2FF1700D">
            <wp:simplePos x="0" y="0"/>
            <wp:positionH relativeFrom="column">
              <wp:posOffset>-837565</wp:posOffset>
            </wp:positionH>
            <wp:positionV relativeFrom="paragraph">
              <wp:posOffset>-824230</wp:posOffset>
            </wp:positionV>
            <wp:extent cx="741045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full page"/>
                    <pic:cNvPicPr>
                      <a:picLocks noChangeAspect="1" noChangeArrowheads="1"/>
                    </pic:cNvPicPr>
                  </pic:nvPicPr>
                  <pic:blipFill>
                    <a:blip r:embed="rId8" cstate="print"/>
                    <a:srcRect/>
                    <a:stretch>
                      <a:fillRect/>
                    </a:stretch>
                  </pic:blipFill>
                  <pic:spPr bwMode="auto">
                    <a:xfrm>
                      <a:off x="0" y="0"/>
                      <a:ext cx="7410450" cy="1257300"/>
                    </a:xfrm>
                    <a:prstGeom prst="rect">
                      <a:avLst/>
                    </a:prstGeom>
                    <a:noFill/>
                  </pic:spPr>
                </pic:pic>
              </a:graphicData>
            </a:graphic>
            <wp14:sizeRelH relativeFrom="margin">
              <wp14:pctWidth>0</wp14:pctWidth>
            </wp14:sizeRelH>
          </wp:anchor>
        </w:drawing>
      </w:r>
    </w:p>
    <w:p w:rsidR="00BC0E74" w:rsidRDefault="00BC0E74" w:rsidP="006348F0">
      <w:pPr>
        <w:jc w:val="center"/>
        <w:rPr>
          <w:rFonts w:ascii="Verdana" w:hAnsi="Verdana"/>
          <w:b/>
          <w:sz w:val="28"/>
          <w:szCs w:val="28"/>
        </w:rPr>
      </w:pPr>
    </w:p>
    <w:p w:rsidR="00BC0E74" w:rsidRDefault="00BC0E74" w:rsidP="00BC0E74">
      <w:pPr>
        <w:jc w:val="both"/>
        <w:rPr>
          <w:rFonts w:ascii="Verdana" w:hAnsi="Verdana"/>
          <w:b/>
          <w:sz w:val="40"/>
          <w:szCs w:val="40"/>
        </w:rPr>
      </w:pPr>
    </w:p>
    <w:p w:rsidR="0036377B" w:rsidRPr="0036377B" w:rsidRDefault="0036377B" w:rsidP="0036377B">
      <w:pPr>
        <w:jc w:val="center"/>
        <w:rPr>
          <w:rFonts w:ascii="Verdana" w:hAnsi="Verdana"/>
          <w:b/>
          <w:sz w:val="40"/>
          <w:szCs w:val="40"/>
        </w:rPr>
      </w:pPr>
      <w:r w:rsidRPr="0036377B">
        <w:rPr>
          <w:rFonts w:ascii="Verdana" w:hAnsi="Verdana"/>
          <w:b/>
          <w:sz w:val="40"/>
          <w:szCs w:val="40"/>
        </w:rPr>
        <w:t>Scottish Parliament European and External Relations Committee</w:t>
      </w:r>
    </w:p>
    <w:p w:rsidR="00F41CEE" w:rsidRPr="0036377B" w:rsidRDefault="0036377B" w:rsidP="0036377B">
      <w:pPr>
        <w:jc w:val="center"/>
        <w:rPr>
          <w:rFonts w:ascii="Verdana" w:hAnsi="Verdana"/>
          <w:b/>
          <w:sz w:val="40"/>
          <w:szCs w:val="40"/>
        </w:rPr>
      </w:pPr>
      <w:r w:rsidRPr="0036377B">
        <w:rPr>
          <w:rFonts w:ascii="Verdana" w:hAnsi="Verdana"/>
          <w:b/>
          <w:sz w:val="40"/>
          <w:szCs w:val="40"/>
        </w:rPr>
        <w:t>Written Call for Evidence - Scotland’s relationship with the EU</w:t>
      </w:r>
    </w:p>
    <w:p w:rsidR="0036377B" w:rsidRDefault="0036377B" w:rsidP="00BC0E74">
      <w:pPr>
        <w:jc w:val="center"/>
        <w:rPr>
          <w:rFonts w:ascii="Verdana" w:hAnsi="Verdana"/>
          <w:b/>
          <w:sz w:val="40"/>
          <w:szCs w:val="40"/>
        </w:rPr>
      </w:pPr>
    </w:p>
    <w:p w:rsidR="00BC0E74" w:rsidRPr="00BC0E74" w:rsidRDefault="00BC0E74" w:rsidP="00BC0E74">
      <w:pPr>
        <w:jc w:val="center"/>
        <w:rPr>
          <w:rFonts w:ascii="Verdana" w:hAnsi="Verdana"/>
          <w:b/>
          <w:sz w:val="40"/>
          <w:szCs w:val="40"/>
        </w:rPr>
      </w:pPr>
      <w:r w:rsidRPr="00BC0E74">
        <w:rPr>
          <w:rFonts w:ascii="Verdana" w:hAnsi="Verdana"/>
          <w:b/>
          <w:sz w:val="40"/>
          <w:szCs w:val="40"/>
        </w:rPr>
        <w:t>A Submission by:</w:t>
      </w:r>
    </w:p>
    <w:p w:rsidR="00BC0E74" w:rsidRPr="00BC0E74" w:rsidRDefault="00BC0E74" w:rsidP="00BC0E74">
      <w:pPr>
        <w:jc w:val="center"/>
        <w:rPr>
          <w:rFonts w:ascii="Verdana" w:hAnsi="Verdana"/>
          <w:b/>
          <w:sz w:val="44"/>
          <w:szCs w:val="44"/>
        </w:rPr>
      </w:pPr>
    </w:p>
    <w:p w:rsidR="00BC0E74" w:rsidRPr="00BB432E" w:rsidRDefault="00BC0E74" w:rsidP="00873AE3">
      <w:pPr>
        <w:jc w:val="center"/>
        <w:rPr>
          <w:rFonts w:ascii="Verdana" w:hAnsi="Verdana"/>
          <w:b/>
          <w:i/>
          <w:sz w:val="40"/>
          <w:szCs w:val="40"/>
        </w:rPr>
      </w:pPr>
      <w:r w:rsidRPr="00BC0E74">
        <w:rPr>
          <w:rFonts w:ascii="Verdana" w:hAnsi="Verdana"/>
          <w:b/>
          <w:sz w:val="40"/>
          <w:szCs w:val="40"/>
        </w:rPr>
        <w:t>The Chartered Institute of Public Finance and Accountancy</w:t>
      </w:r>
      <w:r w:rsidR="00BB432E">
        <w:rPr>
          <w:rFonts w:ascii="Verdana" w:hAnsi="Verdana"/>
          <w:b/>
          <w:sz w:val="40"/>
          <w:szCs w:val="40"/>
        </w:rPr>
        <w:t xml:space="preserve"> </w:t>
      </w:r>
    </w:p>
    <w:p w:rsidR="00BC0E74" w:rsidRDefault="00BC0E74" w:rsidP="00BC0E74">
      <w:pPr>
        <w:rPr>
          <w:rFonts w:ascii="Verdana" w:hAnsi="Verdana"/>
        </w:rPr>
      </w:pPr>
    </w:p>
    <w:p w:rsidR="00BC0E74" w:rsidRDefault="00BC0E74" w:rsidP="00BC0E74">
      <w:pPr>
        <w:rPr>
          <w:rFonts w:ascii="Verdana" w:hAnsi="Verdana"/>
        </w:rPr>
      </w:pPr>
    </w:p>
    <w:p w:rsidR="00BC0E74" w:rsidRDefault="00BC0E74" w:rsidP="00BC0E74">
      <w:pPr>
        <w:rPr>
          <w:rFonts w:ascii="Verdana" w:hAnsi="Verdana"/>
        </w:rPr>
      </w:pPr>
    </w:p>
    <w:p w:rsidR="00BC0E74" w:rsidRDefault="00BC0E74" w:rsidP="00BC0E74">
      <w:pPr>
        <w:rPr>
          <w:rFonts w:ascii="Verdana" w:hAnsi="Verdana"/>
        </w:rPr>
      </w:pPr>
    </w:p>
    <w:p w:rsidR="00BC0E74" w:rsidRDefault="00BC0E74" w:rsidP="00BC0E74">
      <w:pPr>
        <w:rPr>
          <w:rFonts w:ascii="Verdana" w:hAnsi="Verdana"/>
        </w:rPr>
      </w:pPr>
    </w:p>
    <w:p w:rsidR="00BC0E74" w:rsidRPr="00BC0E74" w:rsidRDefault="00BC0E74" w:rsidP="00BC0E74">
      <w:pPr>
        <w:rPr>
          <w:rFonts w:ascii="Verdana" w:hAnsi="Verdana"/>
        </w:rPr>
      </w:pPr>
      <w:r w:rsidRPr="003D10C1">
        <w:rPr>
          <w:rFonts w:ascii="Verdana" w:hAnsi="Verdana"/>
          <w:b/>
          <w:noProof/>
          <w:sz w:val="20"/>
          <w:lang w:eastAsia="en-GB"/>
        </w:rPr>
        <w:drawing>
          <wp:anchor distT="0" distB="0" distL="114300" distR="114300" simplePos="0" relativeHeight="251661312" behindDoc="1" locked="0" layoutInCell="1" allowOverlap="1" wp14:anchorId="5C645D9D" wp14:editId="11684766">
            <wp:simplePos x="0" y="0"/>
            <wp:positionH relativeFrom="column">
              <wp:posOffset>5038725</wp:posOffset>
            </wp:positionH>
            <wp:positionV relativeFrom="paragraph">
              <wp:posOffset>3448685</wp:posOffset>
            </wp:positionV>
            <wp:extent cx="1253490" cy="523875"/>
            <wp:effectExtent l="19050" t="0" r="0" b="0"/>
            <wp:wrapNone/>
            <wp:docPr id="2" name="Picture 2" descr="Cipfa_finance strap_mono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pfa_finance strap_mono_black copy"/>
                    <pic:cNvPicPr>
                      <a:picLocks noChangeAspect="1" noChangeArrowheads="1"/>
                    </pic:cNvPicPr>
                  </pic:nvPicPr>
                  <pic:blipFill>
                    <a:blip r:embed="rId9" cstate="print"/>
                    <a:srcRect/>
                    <a:stretch>
                      <a:fillRect/>
                    </a:stretch>
                  </pic:blipFill>
                  <pic:spPr bwMode="auto">
                    <a:xfrm>
                      <a:off x="0" y="0"/>
                      <a:ext cx="1253490" cy="527685"/>
                    </a:xfrm>
                    <a:prstGeom prst="rect">
                      <a:avLst/>
                    </a:prstGeom>
                    <a:noFill/>
                  </pic:spPr>
                </pic:pic>
              </a:graphicData>
            </a:graphic>
          </wp:anchor>
        </w:drawing>
      </w:r>
    </w:p>
    <w:p w:rsidR="00BF6DE1" w:rsidRDefault="00BF6DE1" w:rsidP="008F2739">
      <w:pPr>
        <w:tabs>
          <w:tab w:val="left" w:pos="7710"/>
        </w:tabs>
        <w:rPr>
          <w:rFonts w:ascii="Verdana" w:hAnsi="Verdana"/>
          <w:b/>
        </w:rPr>
      </w:pPr>
    </w:p>
    <w:p w:rsidR="00277CA4" w:rsidRDefault="00277CA4" w:rsidP="008F2739">
      <w:pPr>
        <w:tabs>
          <w:tab w:val="left" w:pos="7710"/>
        </w:tabs>
        <w:rPr>
          <w:rFonts w:ascii="Verdana" w:hAnsi="Verdana"/>
          <w:b/>
        </w:rPr>
      </w:pPr>
    </w:p>
    <w:p w:rsidR="00277CA4" w:rsidRDefault="00277CA4" w:rsidP="008F2739">
      <w:pPr>
        <w:tabs>
          <w:tab w:val="left" w:pos="7710"/>
        </w:tabs>
        <w:rPr>
          <w:rFonts w:ascii="Verdana" w:hAnsi="Verdana"/>
          <w:b/>
        </w:rPr>
      </w:pPr>
    </w:p>
    <w:p w:rsidR="00277CA4" w:rsidRDefault="00277CA4" w:rsidP="008F2739">
      <w:pPr>
        <w:tabs>
          <w:tab w:val="left" w:pos="7710"/>
        </w:tabs>
        <w:rPr>
          <w:rFonts w:ascii="Verdana" w:hAnsi="Verdana"/>
          <w:b/>
        </w:rPr>
      </w:pPr>
    </w:p>
    <w:p w:rsidR="00277CA4" w:rsidRDefault="00277CA4" w:rsidP="008F2739">
      <w:pPr>
        <w:tabs>
          <w:tab w:val="left" w:pos="7710"/>
        </w:tabs>
        <w:rPr>
          <w:rFonts w:ascii="Verdana" w:hAnsi="Verdana"/>
          <w:b/>
        </w:rPr>
      </w:pPr>
      <w:r w:rsidRPr="008F2739">
        <w:rPr>
          <w:rFonts w:ascii="Verdana" w:hAnsi="Verdana"/>
          <w:b/>
          <w:noProof/>
          <w:lang w:eastAsia="en-GB"/>
        </w:rPr>
        <w:drawing>
          <wp:anchor distT="0" distB="0" distL="114300" distR="114300" simplePos="0" relativeHeight="251663360" behindDoc="1" locked="0" layoutInCell="1" allowOverlap="1" wp14:anchorId="6887D517" wp14:editId="3E06C6AC">
            <wp:simplePos x="0" y="0"/>
            <wp:positionH relativeFrom="column">
              <wp:posOffset>4924425</wp:posOffset>
            </wp:positionH>
            <wp:positionV relativeFrom="paragraph">
              <wp:posOffset>123825</wp:posOffset>
            </wp:positionV>
            <wp:extent cx="1253490" cy="523875"/>
            <wp:effectExtent l="0" t="0" r="3810" b="9525"/>
            <wp:wrapNone/>
            <wp:docPr id="3" name="Picture 3" descr="Cipfa_finance strap_mono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pfa_finance strap_mono_black copy"/>
                    <pic:cNvPicPr>
                      <a:picLocks noChangeAspect="1" noChangeArrowheads="1"/>
                    </pic:cNvPicPr>
                  </pic:nvPicPr>
                  <pic:blipFill>
                    <a:blip r:embed="rId9" cstate="print"/>
                    <a:srcRect/>
                    <a:stretch>
                      <a:fillRect/>
                    </a:stretch>
                  </pic:blipFill>
                  <pic:spPr bwMode="auto">
                    <a:xfrm>
                      <a:off x="0" y="0"/>
                      <a:ext cx="1253490" cy="523875"/>
                    </a:xfrm>
                    <a:prstGeom prst="rect">
                      <a:avLst/>
                    </a:prstGeom>
                    <a:noFill/>
                  </pic:spPr>
                </pic:pic>
              </a:graphicData>
            </a:graphic>
          </wp:anchor>
        </w:drawing>
      </w:r>
      <w:r w:rsidR="0036377B">
        <w:rPr>
          <w:rFonts w:ascii="Verdana" w:hAnsi="Verdana"/>
          <w:b/>
        </w:rPr>
        <w:t>September 2016</w:t>
      </w:r>
    </w:p>
    <w:p w:rsidR="00277CA4" w:rsidRDefault="00277CA4" w:rsidP="008F2739">
      <w:pPr>
        <w:tabs>
          <w:tab w:val="left" w:pos="7710"/>
        </w:tabs>
        <w:rPr>
          <w:rFonts w:ascii="Verdana" w:hAnsi="Verdana"/>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BC0E74" w:rsidRPr="0036377B" w:rsidTr="00277CA4">
        <w:trPr>
          <w:trHeight w:val="1408"/>
        </w:trPr>
        <w:tc>
          <w:tcPr>
            <w:tcW w:w="9242" w:type="dxa"/>
          </w:tcPr>
          <w:p w:rsidR="00BC0E74" w:rsidRPr="0036377B" w:rsidRDefault="00BC0E74" w:rsidP="00BC0E74">
            <w:pPr>
              <w:overflowPunct w:val="0"/>
              <w:autoSpaceDE w:val="0"/>
              <w:autoSpaceDN w:val="0"/>
              <w:adjustRightInd w:val="0"/>
              <w:spacing w:before="120" w:after="120" w:line="24" w:lineRule="atLeast"/>
              <w:jc w:val="both"/>
              <w:textAlignment w:val="baseline"/>
              <w:rPr>
                <w:rFonts w:ascii="Verdana" w:eastAsia="Times New Roman" w:hAnsi="Verdana" w:cs="Times New Roman"/>
              </w:rPr>
            </w:pPr>
            <w:r w:rsidRPr="0036377B">
              <w:rPr>
                <w:rFonts w:ascii="Verdana" w:eastAsia="Times New Roman" w:hAnsi="Verdana" w:cs="Times New Roman"/>
                <w:b/>
                <w:bCs/>
              </w:rPr>
              <w:t>CIPFA, the Chartered Institute of Public Finance and Accountancy</w:t>
            </w:r>
            <w:r w:rsidRPr="0036377B">
              <w:rPr>
                <w:rFonts w:ascii="Verdana" w:eastAsia="Times New Roman" w:hAnsi="Verdana" w:cs="Times New Roman"/>
              </w:rPr>
              <w:t>, is the professional body for people in public finance.  CIPFA shows the way in public finance globally, standing up for sound public financial management and good governance around the world as the leading commentator on managing and accounting for public money.</w:t>
            </w:r>
          </w:p>
        </w:tc>
      </w:tr>
    </w:tbl>
    <w:p w:rsidR="00BC0E74" w:rsidRPr="0036377B" w:rsidRDefault="00BC0E74" w:rsidP="00BC0E74">
      <w:pPr>
        <w:spacing w:before="120" w:after="120" w:line="24" w:lineRule="atLeast"/>
        <w:rPr>
          <w:rFonts w:ascii="Verdana" w:hAnsi="Verdana"/>
        </w:rPr>
      </w:pPr>
      <w:r w:rsidRPr="0036377B">
        <w:rPr>
          <w:rFonts w:ascii="Verdana" w:hAnsi="Verdana"/>
        </w:rPr>
        <w:t> </w:t>
      </w:r>
    </w:p>
    <w:p w:rsidR="00BC0E74" w:rsidRPr="0036377B" w:rsidRDefault="00BC0E74" w:rsidP="00BC0E74">
      <w:pPr>
        <w:spacing w:before="120" w:after="120" w:line="24" w:lineRule="atLeast"/>
        <w:rPr>
          <w:rFonts w:ascii="Verdana" w:hAnsi="Verdana"/>
        </w:rPr>
      </w:pPr>
    </w:p>
    <w:p w:rsidR="00BC0E74" w:rsidRPr="0036377B" w:rsidRDefault="00BC0E74" w:rsidP="00BC0E74">
      <w:pPr>
        <w:spacing w:before="120" w:after="120" w:line="24" w:lineRule="atLeast"/>
        <w:rPr>
          <w:rFonts w:ascii="Verdana" w:hAnsi="Verdana"/>
        </w:rPr>
      </w:pPr>
      <w:r w:rsidRPr="0036377B">
        <w:rPr>
          <w:rFonts w:ascii="Verdana" w:hAnsi="Verdana"/>
        </w:rPr>
        <w:t xml:space="preserve">Further information about CIPFA can be obtained at </w:t>
      </w:r>
      <w:hyperlink r:id="rId10" w:history="1">
        <w:r w:rsidRPr="0036377B">
          <w:rPr>
            <w:rFonts w:ascii="Verdana" w:hAnsi="Verdana"/>
            <w:color w:val="0000FF"/>
            <w:u w:val="single"/>
          </w:rPr>
          <w:t>www.cipfa.org</w:t>
        </w:r>
      </w:hyperlink>
      <w:r w:rsidRPr="0036377B">
        <w:rPr>
          <w:rFonts w:ascii="Verdana" w:hAnsi="Verdana"/>
        </w:rPr>
        <w:t xml:space="preserve"> </w:t>
      </w:r>
    </w:p>
    <w:p w:rsidR="00BC0E74" w:rsidRPr="0036377B" w:rsidRDefault="00BC0E74" w:rsidP="00BC0E74">
      <w:pPr>
        <w:spacing w:before="120" w:after="120" w:line="24" w:lineRule="atLeast"/>
        <w:rPr>
          <w:rFonts w:ascii="Verdana" w:hAnsi="Verdana"/>
        </w:rPr>
      </w:pPr>
    </w:p>
    <w:p w:rsidR="00BC0E74" w:rsidRPr="0036377B" w:rsidRDefault="00BC0E74" w:rsidP="00BC0E74">
      <w:pPr>
        <w:widowControl w:val="0"/>
        <w:overflowPunct w:val="0"/>
        <w:autoSpaceDE w:val="0"/>
        <w:autoSpaceDN w:val="0"/>
        <w:adjustRightInd w:val="0"/>
        <w:spacing w:before="120" w:after="120" w:line="24" w:lineRule="atLeast"/>
        <w:ind w:right="29"/>
        <w:jc w:val="both"/>
        <w:textAlignment w:val="baseline"/>
        <w:outlineLvl w:val="0"/>
        <w:rPr>
          <w:rFonts w:ascii="Verdana" w:eastAsia="Times New Roman" w:hAnsi="Verdana" w:cs="Times New Roman"/>
        </w:rPr>
      </w:pPr>
      <w:r w:rsidRPr="0036377B">
        <w:rPr>
          <w:rFonts w:ascii="Verdana" w:eastAsia="Times New Roman" w:hAnsi="Verdana" w:cs="Times New Roman"/>
        </w:rPr>
        <w:t>Any questions arising from this submission should be directed to:</w:t>
      </w:r>
    </w:p>
    <w:p w:rsidR="00BC0E74" w:rsidRPr="0036377B" w:rsidRDefault="00BC0E74" w:rsidP="00BC0E74">
      <w:pPr>
        <w:spacing w:before="120" w:after="120" w:line="24" w:lineRule="atLeast"/>
        <w:rPr>
          <w:rFonts w:ascii="Verdana" w:hAnsi="Verdan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551"/>
      </w:tblGrid>
      <w:tr w:rsidR="00BC0E74" w:rsidRPr="0036377B" w:rsidTr="009D5B61">
        <w:tc>
          <w:tcPr>
            <w:tcW w:w="4621" w:type="dxa"/>
          </w:tcPr>
          <w:p w:rsidR="00BC0E74" w:rsidRPr="0036377B" w:rsidRDefault="00BC0E74" w:rsidP="00BC0E74">
            <w:pPr>
              <w:widowControl w:val="0"/>
              <w:spacing w:line="288" w:lineRule="auto"/>
              <w:ind w:left="720" w:hanging="720"/>
              <w:outlineLvl w:val="0"/>
              <w:rPr>
                <w:rFonts w:ascii="Verdana" w:hAnsi="Verdana"/>
                <w:b/>
                <w:sz w:val="22"/>
                <w:szCs w:val="22"/>
              </w:rPr>
            </w:pPr>
            <w:r w:rsidRPr="0036377B">
              <w:rPr>
                <w:rFonts w:ascii="Verdana" w:hAnsi="Verdana"/>
                <w:b/>
                <w:sz w:val="22"/>
                <w:szCs w:val="22"/>
              </w:rPr>
              <w:t>Don Peebles</w:t>
            </w:r>
          </w:p>
          <w:p w:rsidR="00BC0E74" w:rsidRPr="0036377B" w:rsidRDefault="00BC0E74" w:rsidP="00BC0E74">
            <w:pPr>
              <w:widowControl w:val="0"/>
              <w:spacing w:line="288" w:lineRule="auto"/>
              <w:ind w:left="720" w:hanging="720"/>
              <w:rPr>
                <w:rFonts w:ascii="Verdana" w:hAnsi="Verdana"/>
                <w:sz w:val="22"/>
                <w:szCs w:val="22"/>
              </w:rPr>
            </w:pPr>
            <w:r w:rsidRPr="0036377B">
              <w:rPr>
                <w:rFonts w:ascii="Verdana" w:hAnsi="Verdana"/>
                <w:sz w:val="22"/>
                <w:szCs w:val="22"/>
              </w:rPr>
              <w:t xml:space="preserve">Head of CIPFA </w:t>
            </w:r>
            <w:r w:rsidR="0036377B" w:rsidRPr="0036377B">
              <w:rPr>
                <w:rFonts w:ascii="Verdana" w:hAnsi="Verdana"/>
                <w:sz w:val="22"/>
                <w:szCs w:val="22"/>
              </w:rPr>
              <w:t>Devolved Government</w:t>
            </w:r>
          </w:p>
          <w:p w:rsidR="00BC0E74" w:rsidRPr="0036377B" w:rsidRDefault="00BC0E74" w:rsidP="00BC0E74">
            <w:pPr>
              <w:widowControl w:val="0"/>
              <w:spacing w:line="288" w:lineRule="auto"/>
              <w:ind w:left="720" w:hanging="720"/>
              <w:rPr>
                <w:rFonts w:ascii="Verdana" w:hAnsi="Verdana"/>
                <w:sz w:val="22"/>
                <w:szCs w:val="22"/>
              </w:rPr>
            </w:pPr>
            <w:r w:rsidRPr="0036377B">
              <w:rPr>
                <w:rFonts w:ascii="Verdana" w:hAnsi="Verdana"/>
                <w:sz w:val="22"/>
                <w:szCs w:val="22"/>
              </w:rPr>
              <w:t>CIPFA in Scotland</w:t>
            </w:r>
          </w:p>
          <w:p w:rsidR="00BC0E74" w:rsidRPr="0036377B" w:rsidRDefault="00BC0E74" w:rsidP="00BC0E74">
            <w:pPr>
              <w:spacing w:line="288" w:lineRule="auto"/>
              <w:rPr>
                <w:rFonts w:ascii="Verdana" w:hAnsi="Verdana"/>
                <w:sz w:val="22"/>
                <w:szCs w:val="22"/>
              </w:rPr>
            </w:pPr>
            <w:r w:rsidRPr="0036377B">
              <w:rPr>
                <w:rFonts w:ascii="Verdana" w:hAnsi="Verdana"/>
                <w:sz w:val="22"/>
                <w:szCs w:val="22"/>
              </w:rPr>
              <w:t>Level 3 Suite D</w:t>
            </w:r>
          </w:p>
          <w:p w:rsidR="00BC0E74" w:rsidRPr="0036377B" w:rsidRDefault="00BC0E74" w:rsidP="00BC0E74">
            <w:pPr>
              <w:spacing w:line="288" w:lineRule="auto"/>
              <w:rPr>
                <w:rFonts w:ascii="Verdana" w:hAnsi="Verdana"/>
                <w:sz w:val="22"/>
                <w:szCs w:val="22"/>
              </w:rPr>
            </w:pPr>
            <w:r w:rsidRPr="0036377B">
              <w:rPr>
                <w:rFonts w:ascii="Verdana" w:hAnsi="Verdana"/>
                <w:sz w:val="22"/>
                <w:szCs w:val="22"/>
              </w:rPr>
              <w:t>160 Dundee Street</w:t>
            </w:r>
          </w:p>
          <w:p w:rsidR="00BC0E74" w:rsidRPr="0036377B" w:rsidRDefault="00BC0E74" w:rsidP="00BC0E74">
            <w:pPr>
              <w:spacing w:line="288" w:lineRule="auto"/>
              <w:rPr>
                <w:rFonts w:ascii="Verdana" w:hAnsi="Verdana"/>
                <w:sz w:val="22"/>
                <w:szCs w:val="22"/>
              </w:rPr>
            </w:pPr>
            <w:r w:rsidRPr="0036377B">
              <w:rPr>
                <w:rFonts w:ascii="Verdana" w:hAnsi="Verdana"/>
                <w:sz w:val="22"/>
                <w:szCs w:val="22"/>
              </w:rPr>
              <w:t>Edinburgh</w:t>
            </w:r>
          </w:p>
          <w:p w:rsidR="00BC0E74" w:rsidRPr="0036377B" w:rsidRDefault="00BC0E74" w:rsidP="00BC0E74">
            <w:pPr>
              <w:spacing w:line="288" w:lineRule="auto"/>
              <w:rPr>
                <w:rFonts w:ascii="Verdana" w:hAnsi="Verdana"/>
                <w:color w:val="1F497D"/>
                <w:sz w:val="22"/>
                <w:szCs w:val="22"/>
              </w:rPr>
            </w:pPr>
            <w:r w:rsidRPr="0036377B">
              <w:rPr>
                <w:rFonts w:ascii="Verdana" w:hAnsi="Verdana"/>
                <w:sz w:val="22"/>
                <w:szCs w:val="22"/>
              </w:rPr>
              <w:t>EH11 1DQ</w:t>
            </w:r>
          </w:p>
          <w:p w:rsidR="00BC0E74" w:rsidRPr="0036377B" w:rsidRDefault="00BC0E74" w:rsidP="00BC0E74">
            <w:pPr>
              <w:widowControl w:val="0"/>
              <w:spacing w:line="288" w:lineRule="auto"/>
              <w:ind w:left="720" w:hanging="720"/>
              <w:rPr>
                <w:rFonts w:ascii="Verdana" w:hAnsi="Verdana"/>
                <w:sz w:val="22"/>
                <w:szCs w:val="22"/>
              </w:rPr>
            </w:pPr>
            <w:r w:rsidRPr="0036377B">
              <w:rPr>
                <w:rFonts w:ascii="Verdana" w:hAnsi="Verdana"/>
                <w:sz w:val="22"/>
                <w:szCs w:val="22"/>
              </w:rPr>
              <w:t>Tel: +44 (0)131 221 8653</w:t>
            </w:r>
          </w:p>
          <w:p w:rsidR="00BC0E74" w:rsidRPr="0036377B" w:rsidRDefault="00BC0E74" w:rsidP="00BC0E74">
            <w:pPr>
              <w:widowControl w:val="0"/>
              <w:spacing w:line="288" w:lineRule="auto"/>
              <w:ind w:left="720" w:hanging="720"/>
              <w:rPr>
                <w:rFonts w:ascii="Verdana" w:hAnsi="Verdana"/>
                <w:sz w:val="22"/>
                <w:szCs w:val="22"/>
              </w:rPr>
            </w:pPr>
            <w:r w:rsidRPr="0036377B">
              <w:rPr>
                <w:rFonts w:ascii="Verdana" w:hAnsi="Verdana"/>
                <w:sz w:val="22"/>
                <w:szCs w:val="22"/>
              </w:rPr>
              <w:t xml:space="preserve">Email: </w:t>
            </w:r>
            <w:hyperlink r:id="rId11" w:history="1">
              <w:r w:rsidRPr="0036377B">
                <w:rPr>
                  <w:rFonts w:ascii="Verdana" w:hAnsi="Verdana"/>
                  <w:color w:val="0000FF"/>
                  <w:sz w:val="22"/>
                  <w:szCs w:val="22"/>
                  <w:u w:val="single"/>
                </w:rPr>
                <w:t>don.peebles@cipfa.org</w:t>
              </w:r>
            </w:hyperlink>
          </w:p>
          <w:p w:rsidR="00BC0E74" w:rsidRPr="0036377B" w:rsidRDefault="00BC0E74" w:rsidP="00BC0E74">
            <w:pPr>
              <w:spacing w:before="120" w:after="120" w:line="24" w:lineRule="atLeast"/>
              <w:rPr>
                <w:rFonts w:ascii="Verdana" w:hAnsi="Verdana"/>
                <w:sz w:val="22"/>
                <w:szCs w:val="22"/>
              </w:rPr>
            </w:pPr>
          </w:p>
        </w:tc>
        <w:tc>
          <w:tcPr>
            <w:tcW w:w="4621" w:type="dxa"/>
          </w:tcPr>
          <w:p w:rsidR="00BC0E74" w:rsidRPr="0036377B" w:rsidRDefault="00BC0E74" w:rsidP="00BC0E74">
            <w:pPr>
              <w:spacing w:line="288" w:lineRule="auto"/>
              <w:ind w:left="720" w:hanging="720"/>
              <w:rPr>
                <w:rFonts w:ascii="Verdana" w:hAnsi="Verdana"/>
                <w:b/>
                <w:sz w:val="22"/>
                <w:szCs w:val="22"/>
              </w:rPr>
            </w:pPr>
            <w:r w:rsidRPr="0036377B">
              <w:rPr>
                <w:rFonts w:ascii="Verdana" w:hAnsi="Verdana"/>
                <w:b/>
                <w:sz w:val="22"/>
                <w:szCs w:val="22"/>
              </w:rPr>
              <w:t>Alan Bermingham</w:t>
            </w:r>
          </w:p>
          <w:p w:rsidR="00BC0E74" w:rsidRPr="0036377B" w:rsidRDefault="00BC0E74" w:rsidP="00BC0E74">
            <w:pPr>
              <w:spacing w:line="288" w:lineRule="auto"/>
              <w:ind w:left="720" w:hanging="720"/>
              <w:rPr>
                <w:rFonts w:ascii="Verdana" w:hAnsi="Verdana"/>
                <w:sz w:val="22"/>
                <w:szCs w:val="22"/>
              </w:rPr>
            </w:pPr>
            <w:r w:rsidRPr="0036377B">
              <w:rPr>
                <w:rFonts w:ascii="Verdana" w:hAnsi="Verdana"/>
                <w:sz w:val="22"/>
                <w:szCs w:val="22"/>
              </w:rPr>
              <w:t>Policy and Technical Manager</w:t>
            </w:r>
          </w:p>
          <w:p w:rsidR="00BC0E74" w:rsidRPr="0036377B" w:rsidRDefault="00BC0E74" w:rsidP="00BC0E74">
            <w:pPr>
              <w:spacing w:line="288" w:lineRule="auto"/>
              <w:ind w:left="720" w:hanging="720"/>
              <w:rPr>
                <w:rFonts w:ascii="Verdana" w:hAnsi="Verdana"/>
                <w:sz w:val="22"/>
                <w:szCs w:val="22"/>
              </w:rPr>
            </w:pPr>
            <w:r w:rsidRPr="0036377B">
              <w:rPr>
                <w:rFonts w:ascii="Verdana" w:hAnsi="Verdana"/>
                <w:sz w:val="22"/>
                <w:szCs w:val="22"/>
              </w:rPr>
              <w:t>Devolved</w:t>
            </w:r>
            <w:r w:rsidR="0036377B" w:rsidRPr="0036377B">
              <w:rPr>
                <w:rFonts w:ascii="Verdana" w:hAnsi="Verdana"/>
                <w:sz w:val="22"/>
                <w:szCs w:val="22"/>
              </w:rPr>
              <w:t xml:space="preserve"> Government Faculty</w:t>
            </w:r>
          </w:p>
          <w:p w:rsidR="00BC0E74" w:rsidRPr="0036377B" w:rsidRDefault="00BC0E74" w:rsidP="00BC0E74">
            <w:pPr>
              <w:tabs>
                <w:tab w:val="left" w:pos="3969"/>
              </w:tabs>
              <w:spacing w:line="288" w:lineRule="auto"/>
              <w:ind w:left="720" w:hanging="720"/>
              <w:rPr>
                <w:rFonts w:ascii="Verdana" w:hAnsi="Verdana"/>
                <w:sz w:val="22"/>
                <w:szCs w:val="22"/>
              </w:rPr>
            </w:pPr>
            <w:r w:rsidRPr="0036377B">
              <w:rPr>
                <w:rFonts w:ascii="Verdana" w:hAnsi="Verdana"/>
                <w:sz w:val="22"/>
                <w:szCs w:val="22"/>
              </w:rPr>
              <w:t>3</w:t>
            </w:r>
            <w:r w:rsidRPr="0036377B">
              <w:rPr>
                <w:rFonts w:ascii="Verdana" w:hAnsi="Verdana"/>
                <w:sz w:val="22"/>
                <w:szCs w:val="22"/>
                <w:vertAlign w:val="superscript"/>
              </w:rPr>
              <w:t>rd</w:t>
            </w:r>
            <w:r w:rsidRPr="0036377B">
              <w:rPr>
                <w:rFonts w:ascii="Verdana" w:hAnsi="Verdana"/>
                <w:sz w:val="22"/>
                <w:szCs w:val="22"/>
              </w:rPr>
              <w:t xml:space="preserve"> Floor, Lesley Exchange 2</w:t>
            </w:r>
          </w:p>
          <w:p w:rsidR="00BC0E74" w:rsidRPr="0036377B" w:rsidRDefault="00BC0E74" w:rsidP="00BC0E74">
            <w:pPr>
              <w:tabs>
                <w:tab w:val="left" w:pos="3969"/>
              </w:tabs>
              <w:spacing w:line="288" w:lineRule="auto"/>
              <w:ind w:left="720" w:hanging="720"/>
              <w:rPr>
                <w:rFonts w:ascii="Verdana" w:hAnsi="Verdana"/>
                <w:sz w:val="22"/>
                <w:szCs w:val="22"/>
              </w:rPr>
            </w:pPr>
            <w:r w:rsidRPr="0036377B">
              <w:rPr>
                <w:rFonts w:ascii="Verdana" w:hAnsi="Verdana"/>
                <w:sz w:val="22"/>
                <w:szCs w:val="22"/>
              </w:rPr>
              <w:t>22 East Bridge Street</w:t>
            </w:r>
          </w:p>
          <w:p w:rsidR="00BC0E74" w:rsidRPr="0036377B" w:rsidRDefault="00BC0E74" w:rsidP="00BC0E74">
            <w:pPr>
              <w:tabs>
                <w:tab w:val="left" w:pos="3969"/>
              </w:tabs>
              <w:spacing w:line="288" w:lineRule="auto"/>
              <w:ind w:left="720" w:hanging="720"/>
              <w:rPr>
                <w:rFonts w:ascii="Verdana" w:hAnsi="Verdana"/>
                <w:sz w:val="22"/>
                <w:szCs w:val="22"/>
              </w:rPr>
            </w:pPr>
            <w:r w:rsidRPr="0036377B">
              <w:rPr>
                <w:rFonts w:ascii="Verdana" w:hAnsi="Verdana"/>
                <w:sz w:val="22"/>
                <w:szCs w:val="22"/>
              </w:rPr>
              <w:t>Belfast</w:t>
            </w:r>
          </w:p>
          <w:p w:rsidR="00BC0E74" w:rsidRPr="0036377B" w:rsidRDefault="00BC0E74" w:rsidP="00BC0E74">
            <w:pPr>
              <w:tabs>
                <w:tab w:val="left" w:pos="3969"/>
              </w:tabs>
              <w:spacing w:line="288" w:lineRule="auto"/>
              <w:ind w:left="720" w:hanging="720"/>
              <w:rPr>
                <w:rFonts w:ascii="Verdana" w:hAnsi="Verdana"/>
                <w:sz w:val="22"/>
                <w:szCs w:val="22"/>
              </w:rPr>
            </w:pPr>
            <w:r w:rsidRPr="0036377B">
              <w:rPr>
                <w:rFonts w:ascii="Verdana" w:hAnsi="Verdana"/>
                <w:sz w:val="22"/>
                <w:szCs w:val="22"/>
              </w:rPr>
              <w:t>BT1 3NR</w:t>
            </w:r>
          </w:p>
          <w:p w:rsidR="00BC0E74" w:rsidRPr="0036377B" w:rsidRDefault="00BC0E74" w:rsidP="00BC0E74">
            <w:pPr>
              <w:spacing w:line="288" w:lineRule="auto"/>
              <w:ind w:left="720" w:hanging="720"/>
              <w:rPr>
                <w:rFonts w:ascii="Verdana" w:hAnsi="Verdana"/>
                <w:sz w:val="22"/>
                <w:szCs w:val="22"/>
              </w:rPr>
            </w:pPr>
            <w:r w:rsidRPr="0036377B">
              <w:rPr>
                <w:rFonts w:ascii="Verdana" w:hAnsi="Verdana"/>
                <w:sz w:val="22"/>
                <w:szCs w:val="22"/>
              </w:rPr>
              <w:t>Tel: +44 (0)2890 266 1653</w:t>
            </w:r>
          </w:p>
          <w:p w:rsidR="00BC0E74" w:rsidRPr="0036377B" w:rsidRDefault="00BC0E74" w:rsidP="00BC0E74">
            <w:pPr>
              <w:spacing w:line="288" w:lineRule="auto"/>
              <w:ind w:left="720" w:hanging="720"/>
              <w:rPr>
                <w:rFonts w:ascii="Verdana" w:hAnsi="Verdana"/>
                <w:sz w:val="22"/>
                <w:szCs w:val="22"/>
              </w:rPr>
            </w:pPr>
            <w:r w:rsidRPr="0036377B">
              <w:rPr>
                <w:rFonts w:ascii="Verdana" w:hAnsi="Verdana"/>
                <w:sz w:val="22"/>
                <w:szCs w:val="22"/>
              </w:rPr>
              <w:t xml:space="preserve">Email: </w:t>
            </w:r>
            <w:hyperlink r:id="rId12" w:history="1">
              <w:r w:rsidRPr="0036377B">
                <w:rPr>
                  <w:rFonts w:ascii="Verdana" w:hAnsi="Verdana"/>
                  <w:color w:val="0000FF"/>
                  <w:sz w:val="22"/>
                  <w:szCs w:val="22"/>
                  <w:u w:val="single"/>
                </w:rPr>
                <w:t>alan.bermingham@cipfa.org</w:t>
              </w:r>
            </w:hyperlink>
          </w:p>
          <w:p w:rsidR="00BC0E74" w:rsidRPr="0036377B" w:rsidRDefault="00BC0E74" w:rsidP="00BC0E74">
            <w:pPr>
              <w:spacing w:before="120" w:after="120" w:line="24" w:lineRule="atLeast"/>
              <w:rPr>
                <w:rFonts w:ascii="Verdana" w:hAnsi="Verdana"/>
                <w:sz w:val="22"/>
                <w:szCs w:val="22"/>
              </w:rPr>
            </w:pPr>
          </w:p>
        </w:tc>
      </w:tr>
    </w:tbl>
    <w:p w:rsidR="00BC0E74" w:rsidRPr="00BC0E74" w:rsidRDefault="00BC0E74" w:rsidP="00BC0E74">
      <w:pPr>
        <w:spacing w:before="120" w:after="120" w:line="24" w:lineRule="atLeast"/>
        <w:rPr>
          <w:rFonts w:ascii="Verdana" w:hAnsi="Verdana"/>
          <w:sz w:val="20"/>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BC0E74" w:rsidRDefault="00BC0E74" w:rsidP="009D4C99">
      <w:pPr>
        <w:spacing w:after="0"/>
        <w:jc w:val="both"/>
        <w:rPr>
          <w:rFonts w:ascii="Verdana" w:hAnsi="Verdana"/>
          <w:b/>
          <w:sz w:val="24"/>
          <w:szCs w:val="24"/>
        </w:rPr>
      </w:pPr>
    </w:p>
    <w:p w:rsidR="004466A9" w:rsidRDefault="004466A9" w:rsidP="009D4C99">
      <w:pPr>
        <w:spacing w:after="0"/>
        <w:jc w:val="both"/>
        <w:rPr>
          <w:rFonts w:ascii="Verdana" w:hAnsi="Verdana"/>
          <w:b/>
          <w:sz w:val="24"/>
          <w:szCs w:val="24"/>
        </w:rPr>
        <w:sectPr w:rsidR="004466A9" w:rsidSect="004466A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pPr>
    </w:p>
    <w:p w:rsidR="00BC0E74" w:rsidRDefault="00BC0E74" w:rsidP="009D4C99">
      <w:pPr>
        <w:spacing w:after="0"/>
        <w:jc w:val="both"/>
        <w:rPr>
          <w:rFonts w:ascii="Verdana" w:hAnsi="Verdana"/>
          <w:b/>
          <w:sz w:val="24"/>
          <w:szCs w:val="24"/>
        </w:rPr>
      </w:pPr>
    </w:p>
    <w:p w:rsidR="00BC0E74" w:rsidRDefault="00CE6436" w:rsidP="009D4C99">
      <w:pPr>
        <w:spacing w:after="0"/>
        <w:jc w:val="both"/>
        <w:rPr>
          <w:rFonts w:ascii="Verdana" w:hAnsi="Verdana"/>
          <w:b/>
          <w:sz w:val="24"/>
          <w:szCs w:val="24"/>
        </w:rPr>
      </w:pPr>
      <w:r>
        <w:rPr>
          <w:rFonts w:ascii="Verdana" w:hAnsi="Verdana"/>
          <w:b/>
          <w:sz w:val="24"/>
          <w:szCs w:val="24"/>
        </w:rPr>
        <w:t>1.</w:t>
      </w:r>
      <w:r>
        <w:rPr>
          <w:rFonts w:ascii="Verdana" w:hAnsi="Verdana"/>
          <w:b/>
          <w:sz w:val="24"/>
          <w:szCs w:val="24"/>
        </w:rPr>
        <w:tab/>
        <w:t>Executive Summary</w:t>
      </w:r>
    </w:p>
    <w:p w:rsidR="00CE6436" w:rsidRDefault="00CE6436" w:rsidP="009D4C99">
      <w:pPr>
        <w:spacing w:after="0"/>
        <w:jc w:val="both"/>
        <w:rPr>
          <w:rFonts w:ascii="Verdana" w:hAnsi="Verdana"/>
          <w:b/>
          <w:sz w:val="24"/>
          <w:szCs w:val="24"/>
        </w:rPr>
      </w:pPr>
    </w:p>
    <w:p w:rsidR="003759FD" w:rsidRDefault="00395C5C" w:rsidP="00395C5C">
      <w:pPr>
        <w:spacing w:after="0"/>
        <w:ind w:left="720" w:hanging="720"/>
        <w:jc w:val="both"/>
        <w:rPr>
          <w:rFonts w:ascii="Verdana" w:hAnsi="Verdana"/>
          <w:sz w:val="24"/>
          <w:szCs w:val="24"/>
        </w:rPr>
      </w:pPr>
      <w:r>
        <w:rPr>
          <w:rFonts w:ascii="Verdana" w:hAnsi="Verdana"/>
          <w:sz w:val="24"/>
          <w:szCs w:val="24"/>
        </w:rPr>
        <w:t>1.1</w:t>
      </w:r>
      <w:r>
        <w:rPr>
          <w:rFonts w:ascii="Verdana" w:hAnsi="Verdana"/>
          <w:sz w:val="24"/>
          <w:szCs w:val="24"/>
        </w:rPr>
        <w:tab/>
        <w:t xml:space="preserve">CIPFA’s research into the influence of EU membership on UK public services has identified a wide range of issues to consider as a result of the EU referendum result.  </w:t>
      </w:r>
      <w:r w:rsidR="00A1379B">
        <w:rPr>
          <w:rFonts w:ascii="Verdana" w:hAnsi="Verdana"/>
          <w:sz w:val="24"/>
          <w:szCs w:val="24"/>
        </w:rPr>
        <w:t>Many of t</w:t>
      </w:r>
      <w:r>
        <w:rPr>
          <w:rFonts w:ascii="Verdana" w:hAnsi="Verdana"/>
          <w:sz w:val="24"/>
          <w:szCs w:val="24"/>
        </w:rPr>
        <w:t xml:space="preserve">hese issues are relevant to Scotland and </w:t>
      </w:r>
      <w:r w:rsidR="000F6820">
        <w:rPr>
          <w:rFonts w:ascii="Verdana" w:hAnsi="Verdana"/>
          <w:sz w:val="24"/>
          <w:szCs w:val="24"/>
        </w:rPr>
        <w:t>are likely to be</w:t>
      </w:r>
      <w:r>
        <w:rPr>
          <w:rFonts w:ascii="Verdana" w:hAnsi="Verdana"/>
          <w:sz w:val="24"/>
          <w:szCs w:val="24"/>
        </w:rPr>
        <w:t xml:space="preserve"> further complicated by the nature of current funding arrangements from Westminster.</w:t>
      </w:r>
    </w:p>
    <w:p w:rsidR="00395C5C" w:rsidRDefault="00395C5C" w:rsidP="00395C5C">
      <w:pPr>
        <w:spacing w:after="0"/>
        <w:ind w:left="720" w:hanging="720"/>
        <w:jc w:val="both"/>
        <w:rPr>
          <w:rFonts w:ascii="Verdana" w:hAnsi="Verdana"/>
          <w:sz w:val="24"/>
          <w:szCs w:val="24"/>
        </w:rPr>
      </w:pPr>
    </w:p>
    <w:p w:rsidR="00395C5C" w:rsidRDefault="00395C5C" w:rsidP="00395C5C">
      <w:pPr>
        <w:spacing w:after="0"/>
        <w:ind w:left="720" w:hanging="720"/>
        <w:jc w:val="both"/>
        <w:rPr>
          <w:rFonts w:ascii="Verdana" w:hAnsi="Verdana"/>
          <w:sz w:val="24"/>
          <w:szCs w:val="24"/>
        </w:rPr>
      </w:pPr>
      <w:r>
        <w:rPr>
          <w:rFonts w:ascii="Verdana" w:hAnsi="Verdana"/>
          <w:sz w:val="24"/>
          <w:szCs w:val="24"/>
        </w:rPr>
        <w:t>1.2</w:t>
      </w:r>
      <w:r>
        <w:rPr>
          <w:rFonts w:ascii="Verdana" w:hAnsi="Verdana"/>
          <w:sz w:val="24"/>
          <w:szCs w:val="24"/>
        </w:rPr>
        <w:tab/>
        <w:t xml:space="preserve">CIPFA has identified the following issues relating </w:t>
      </w:r>
      <w:r w:rsidR="00A1379B">
        <w:rPr>
          <w:rFonts w:ascii="Verdana" w:hAnsi="Verdana"/>
          <w:sz w:val="24"/>
          <w:szCs w:val="24"/>
        </w:rPr>
        <w:t xml:space="preserve">to </w:t>
      </w:r>
      <w:r>
        <w:rPr>
          <w:rFonts w:ascii="Verdana" w:hAnsi="Verdana"/>
          <w:sz w:val="24"/>
          <w:szCs w:val="24"/>
        </w:rPr>
        <w:t xml:space="preserve">the governance </w:t>
      </w:r>
      <w:bookmarkStart w:id="0" w:name="_GoBack"/>
      <w:bookmarkEnd w:id="0"/>
      <w:r>
        <w:rPr>
          <w:rFonts w:ascii="Verdana" w:hAnsi="Verdana"/>
          <w:sz w:val="24"/>
          <w:szCs w:val="24"/>
        </w:rPr>
        <w:t>and future funding of public services</w:t>
      </w:r>
      <w:r w:rsidR="00817D0C">
        <w:rPr>
          <w:rFonts w:ascii="Verdana" w:hAnsi="Verdana"/>
          <w:sz w:val="24"/>
          <w:szCs w:val="24"/>
        </w:rPr>
        <w:t xml:space="preserve"> that deserve consideration by the Committee</w:t>
      </w:r>
      <w:r>
        <w:rPr>
          <w:rFonts w:ascii="Verdana" w:hAnsi="Verdana"/>
          <w:sz w:val="24"/>
          <w:szCs w:val="24"/>
        </w:rPr>
        <w:t>:</w:t>
      </w:r>
    </w:p>
    <w:p w:rsidR="00395C5C" w:rsidRDefault="00395C5C" w:rsidP="00395C5C">
      <w:pPr>
        <w:spacing w:after="0"/>
        <w:ind w:left="720" w:hanging="720"/>
        <w:jc w:val="both"/>
        <w:rPr>
          <w:rFonts w:ascii="Verdana" w:hAnsi="Verdana"/>
          <w:sz w:val="24"/>
          <w:szCs w:val="24"/>
        </w:rPr>
      </w:pPr>
    </w:p>
    <w:p w:rsidR="00395C5C" w:rsidRDefault="00395C5C" w:rsidP="00395C5C">
      <w:pPr>
        <w:pStyle w:val="ListParagraph"/>
        <w:numPr>
          <w:ilvl w:val="0"/>
          <w:numId w:val="30"/>
        </w:numPr>
        <w:spacing w:after="0"/>
        <w:jc w:val="both"/>
        <w:rPr>
          <w:rFonts w:ascii="Verdana" w:hAnsi="Verdana"/>
          <w:sz w:val="24"/>
          <w:szCs w:val="24"/>
        </w:rPr>
      </w:pPr>
      <w:r>
        <w:rPr>
          <w:rFonts w:ascii="Verdana" w:hAnsi="Verdana"/>
          <w:sz w:val="24"/>
          <w:szCs w:val="24"/>
        </w:rPr>
        <w:t xml:space="preserve">The mechanisms for distributing </w:t>
      </w:r>
      <w:r w:rsidR="00817D0C">
        <w:rPr>
          <w:rFonts w:ascii="Verdana" w:hAnsi="Verdana"/>
          <w:sz w:val="24"/>
          <w:szCs w:val="24"/>
        </w:rPr>
        <w:t>r</w:t>
      </w:r>
      <w:r>
        <w:rPr>
          <w:rFonts w:ascii="Verdana" w:hAnsi="Verdana"/>
          <w:sz w:val="24"/>
          <w:szCs w:val="24"/>
        </w:rPr>
        <w:t>eplacing or maintaining EU funding streams post EU withdrawal</w:t>
      </w:r>
      <w:r w:rsidR="00817D0C">
        <w:rPr>
          <w:rFonts w:ascii="Verdana" w:hAnsi="Verdana"/>
          <w:sz w:val="24"/>
          <w:szCs w:val="24"/>
        </w:rPr>
        <w:t>, including EU structural funding</w:t>
      </w:r>
      <w:r>
        <w:rPr>
          <w:rFonts w:ascii="Verdana" w:hAnsi="Verdana"/>
          <w:sz w:val="24"/>
          <w:szCs w:val="24"/>
        </w:rPr>
        <w:t xml:space="preserve">. </w:t>
      </w:r>
    </w:p>
    <w:p w:rsidR="00817D0C" w:rsidRPr="00817D0C" w:rsidRDefault="00817D0C" w:rsidP="00817D0C">
      <w:pPr>
        <w:spacing w:after="0"/>
        <w:ind w:left="720"/>
        <w:jc w:val="both"/>
        <w:rPr>
          <w:rFonts w:ascii="Verdana" w:hAnsi="Verdana"/>
          <w:sz w:val="24"/>
          <w:szCs w:val="24"/>
        </w:rPr>
      </w:pPr>
    </w:p>
    <w:p w:rsidR="00395C5C" w:rsidRDefault="00395C5C" w:rsidP="00395C5C">
      <w:pPr>
        <w:pStyle w:val="ListParagraph"/>
        <w:numPr>
          <w:ilvl w:val="0"/>
          <w:numId w:val="30"/>
        </w:numPr>
        <w:spacing w:after="0"/>
        <w:jc w:val="both"/>
        <w:rPr>
          <w:rFonts w:ascii="Verdana" w:hAnsi="Verdana"/>
          <w:sz w:val="24"/>
          <w:szCs w:val="24"/>
        </w:rPr>
      </w:pPr>
      <w:r>
        <w:rPr>
          <w:rFonts w:ascii="Verdana" w:hAnsi="Verdana"/>
          <w:sz w:val="24"/>
          <w:szCs w:val="24"/>
        </w:rPr>
        <w:t xml:space="preserve">The potential for change or review of the Barnett Funding </w:t>
      </w:r>
      <w:r w:rsidR="002755D2">
        <w:rPr>
          <w:rFonts w:ascii="Verdana" w:hAnsi="Verdana"/>
          <w:sz w:val="24"/>
          <w:szCs w:val="24"/>
        </w:rPr>
        <w:t>Formula to accommodate a wider stream of funding arrangements for public services.</w:t>
      </w:r>
    </w:p>
    <w:p w:rsidR="00817D0C" w:rsidRPr="00817D0C" w:rsidRDefault="00817D0C" w:rsidP="00817D0C">
      <w:pPr>
        <w:spacing w:after="0"/>
        <w:ind w:left="720"/>
        <w:jc w:val="both"/>
        <w:rPr>
          <w:rFonts w:ascii="Verdana" w:hAnsi="Verdana"/>
          <w:sz w:val="24"/>
          <w:szCs w:val="24"/>
        </w:rPr>
      </w:pPr>
    </w:p>
    <w:p w:rsidR="002755D2" w:rsidRDefault="002755D2" w:rsidP="00395C5C">
      <w:pPr>
        <w:pStyle w:val="ListParagraph"/>
        <w:numPr>
          <w:ilvl w:val="0"/>
          <w:numId w:val="30"/>
        </w:numPr>
        <w:spacing w:after="0"/>
        <w:jc w:val="both"/>
        <w:rPr>
          <w:rFonts w:ascii="Verdana" w:hAnsi="Verdana"/>
          <w:sz w:val="24"/>
          <w:szCs w:val="24"/>
        </w:rPr>
      </w:pPr>
      <w:r>
        <w:rPr>
          <w:rFonts w:ascii="Verdana" w:hAnsi="Verdana"/>
          <w:sz w:val="24"/>
          <w:szCs w:val="24"/>
        </w:rPr>
        <w:t>The impact of changes to UK immigration policy and its impact on the public sector workforce in Scotland.</w:t>
      </w:r>
    </w:p>
    <w:p w:rsidR="00817D0C" w:rsidRPr="00817D0C" w:rsidRDefault="00817D0C" w:rsidP="00817D0C">
      <w:pPr>
        <w:spacing w:after="0"/>
        <w:ind w:left="720"/>
        <w:jc w:val="both"/>
        <w:rPr>
          <w:rFonts w:ascii="Verdana" w:hAnsi="Verdana"/>
          <w:sz w:val="24"/>
          <w:szCs w:val="24"/>
        </w:rPr>
      </w:pPr>
    </w:p>
    <w:p w:rsidR="002755D2" w:rsidRDefault="00817D0C" w:rsidP="00395C5C">
      <w:pPr>
        <w:pStyle w:val="ListParagraph"/>
        <w:numPr>
          <w:ilvl w:val="0"/>
          <w:numId w:val="30"/>
        </w:numPr>
        <w:spacing w:after="0"/>
        <w:jc w:val="both"/>
        <w:rPr>
          <w:rFonts w:ascii="Verdana" w:hAnsi="Verdana"/>
          <w:sz w:val="24"/>
          <w:szCs w:val="24"/>
        </w:rPr>
      </w:pPr>
      <w:r>
        <w:rPr>
          <w:rFonts w:ascii="Verdana" w:hAnsi="Verdana"/>
          <w:sz w:val="24"/>
          <w:szCs w:val="24"/>
        </w:rPr>
        <w:t xml:space="preserve">The range of EU policy and legislation that impacts on the operation of public services in Scotland.  This ranges from procurement policy, environment legislation </w:t>
      </w:r>
      <w:r w:rsidR="00A1379B">
        <w:rPr>
          <w:rFonts w:ascii="Verdana" w:hAnsi="Verdana"/>
          <w:sz w:val="24"/>
          <w:szCs w:val="24"/>
        </w:rPr>
        <w:t xml:space="preserve">through </w:t>
      </w:r>
      <w:r>
        <w:rPr>
          <w:rFonts w:ascii="Verdana" w:hAnsi="Verdana"/>
          <w:sz w:val="24"/>
          <w:szCs w:val="24"/>
        </w:rPr>
        <w:t>to criminal justice and policing.</w:t>
      </w:r>
    </w:p>
    <w:p w:rsidR="00817D0C" w:rsidRPr="00817D0C" w:rsidRDefault="00817D0C" w:rsidP="00817D0C">
      <w:pPr>
        <w:pStyle w:val="ListParagraph"/>
        <w:rPr>
          <w:rFonts w:ascii="Verdana" w:hAnsi="Verdana"/>
          <w:sz w:val="24"/>
          <w:szCs w:val="24"/>
        </w:rPr>
      </w:pPr>
    </w:p>
    <w:p w:rsidR="00817D0C" w:rsidRDefault="00817D0C" w:rsidP="00395C5C">
      <w:pPr>
        <w:pStyle w:val="ListParagraph"/>
        <w:numPr>
          <w:ilvl w:val="0"/>
          <w:numId w:val="30"/>
        </w:numPr>
        <w:spacing w:after="0"/>
        <w:jc w:val="both"/>
        <w:rPr>
          <w:rFonts w:ascii="Verdana" w:hAnsi="Verdana"/>
          <w:sz w:val="24"/>
          <w:szCs w:val="24"/>
        </w:rPr>
      </w:pPr>
      <w:r>
        <w:rPr>
          <w:rFonts w:ascii="Verdana" w:hAnsi="Verdana"/>
          <w:sz w:val="24"/>
          <w:szCs w:val="24"/>
        </w:rPr>
        <w:t xml:space="preserve">The level of support for UK research and development within </w:t>
      </w:r>
      <w:r w:rsidR="000F6820">
        <w:rPr>
          <w:rFonts w:ascii="Verdana" w:hAnsi="Verdana"/>
          <w:sz w:val="24"/>
          <w:szCs w:val="24"/>
        </w:rPr>
        <w:t>the</w:t>
      </w:r>
      <w:r>
        <w:rPr>
          <w:rFonts w:ascii="Verdana" w:hAnsi="Verdana"/>
          <w:sz w:val="24"/>
          <w:szCs w:val="24"/>
        </w:rPr>
        <w:t xml:space="preserve"> higher education sys</w:t>
      </w:r>
      <w:r w:rsidR="000F6820">
        <w:rPr>
          <w:rFonts w:ascii="Verdana" w:hAnsi="Verdana"/>
          <w:sz w:val="24"/>
          <w:szCs w:val="24"/>
        </w:rPr>
        <w:t>tem.</w:t>
      </w:r>
    </w:p>
    <w:p w:rsidR="000F6820" w:rsidRPr="000F6820" w:rsidRDefault="000F6820" w:rsidP="000F6820">
      <w:pPr>
        <w:pStyle w:val="ListParagraph"/>
        <w:rPr>
          <w:rFonts w:ascii="Verdana" w:hAnsi="Verdana"/>
          <w:sz w:val="24"/>
          <w:szCs w:val="24"/>
        </w:rPr>
      </w:pPr>
    </w:p>
    <w:p w:rsidR="000F6820" w:rsidRPr="000F6820" w:rsidRDefault="000F6820" w:rsidP="0059423A">
      <w:pPr>
        <w:spacing w:after="0"/>
        <w:ind w:left="720" w:hanging="720"/>
        <w:jc w:val="both"/>
        <w:rPr>
          <w:rFonts w:ascii="Verdana" w:hAnsi="Verdana"/>
          <w:sz w:val="24"/>
          <w:szCs w:val="24"/>
        </w:rPr>
      </w:pPr>
      <w:r>
        <w:rPr>
          <w:rFonts w:ascii="Verdana" w:hAnsi="Verdana"/>
          <w:sz w:val="24"/>
          <w:szCs w:val="24"/>
        </w:rPr>
        <w:t>1.3</w:t>
      </w:r>
      <w:r>
        <w:rPr>
          <w:rFonts w:ascii="Verdana" w:hAnsi="Verdana"/>
          <w:sz w:val="24"/>
          <w:szCs w:val="24"/>
        </w:rPr>
        <w:tab/>
        <w:t>CI</w:t>
      </w:r>
      <w:r w:rsidR="0059423A">
        <w:rPr>
          <w:rFonts w:ascii="Verdana" w:hAnsi="Verdana"/>
          <w:sz w:val="24"/>
          <w:szCs w:val="24"/>
        </w:rPr>
        <w:t>PFA notes that these impacts are subject to a significant amount of uncertainty.  This is due largely to the unknown nature of the UK’s future exit terms and any future policy interventions in the UK economy to promote growth and stability.  There is also the question of the Scottish Government’s own position on its future relationship with Europe distinct from the UK.</w:t>
      </w:r>
    </w:p>
    <w:p w:rsidR="003759FD" w:rsidRDefault="003759FD" w:rsidP="009D4C99">
      <w:pPr>
        <w:spacing w:after="0"/>
        <w:jc w:val="both"/>
        <w:rPr>
          <w:rFonts w:ascii="Verdana" w:hAnsi="Verdana"/>
          <w:b/>
          <w:sz w:val="24"/>
          <w:szCs w:val="24"/>
        </w:rPr>
      </w:pPr>
    </w:p>
    <w:p w:rsidR="0059423A" w:rsidRDefault="0059423A" w:rsidP="009D4C99">
      <w:pPr>
        <w:spacing w:after="0"/>
        <w:jc w:val="both"/>
        <w:rPr>
          <w:rFonts w:ascii="Verdana" w:hAnsi="Verdana"/>
          <w:b/>
          <w:sz w:val="24"/>
          <w:szCs w:val="24"/>
        </w:rPr>
      </w:pPr>
    </w:p>
    <w:p w:rsidR="0059423A" w:rsidRDefault="0059423A" w:rsidP="009D4C99">
      <w:pPr>
        <w:spacing w:after="0"/>
        <w:jc w:val="both"/>
        <w:rPr>
          <w:rFonts w:ascii="Verdana" w:hAnsi="Verdana"/>
          <w:b/>
          <w:sz w:val="24"/>
          <w:szCs w:val="24"/>
        </w:rPr>
      </w:pPr>
    </w:p>
    <w:p w:rsidR="003759FD" w:rsidRDefault="003759FD" w:rsidP="009D4C99">
      <w:pPr>
        <w:spacing w:after="0"/>
        <w:jc w:val="both"/>
        <w:rPr>
          <w:rFonts w:ascii="Verdana" w:hAnsi="Verdana"/>
          <w:b/>
          <w:sz w:val="24"/>
          <w:szCs w:val="24"/>
        </w:rPr>
      </w:pPr>
      <w:r>
        <w:rPr>
          <w:rFonts w:ascii="Verdana" w:hAnsi="Verdana"/>
          <w:b/>
          <w:sz w:val="24"/>
          <w:szCs w:val="24"/>
        </w:rPr>
        <w:lastRenderedPageBreak/>
        <w:t>2.</w:t>
      </w:r>
      <w:r>
        <w:rPr>
          <w:rFonts w:ascii="Verdana" w:hAnsi="Verdana"/>
          <w:b/>
          <w:sz w:val="24"/>
          <w:szCs w:val="24"/>
        </w:rPr>
        <w:tab/>
        <w:t>Introduction</w:t>
      </w:r>
    </w:p>
    <w:p w:rsidR="003759FD" w:rsidRDefault="003759FD" w:rsidP="009D4C99">
      <w:pPr>
        <w:spacing w:after="0"/>
        <w:jc w:val="both"/>
        <w:rPr>
          <w:rFonts w:ascii="Verdana" w:hAnsi="Verdana"/>
          <w:b/>
          <w:sz w:val="24"/>
          <w:szCs w:val="24"/>
        </w:rPr>
      </w:pPr>
    </w:p>
    <w:p w:rsidR="003759FD" w:rsidRDefault="003759FD" w:rsidP="003759FD">
      <w:pPr>
        <w:spacing w:after="0"/>
        <w:ind w:left="720" w:hanging="720"/>
        <w:jc w:val="both"/>
        <w:rPr>
          <w:rFonts w:ascii="Verdana" w:hAnsi="Verdana"/>
          <w:sz w:val="24"/>
          <w:szCs w:val="24"/>
        </w:rPr>
      </w:pPr>
      <w:r>
        <w:rPr>
          <w:rFonts w:ascii="Verdana" w:hAnsi="Verdana"/>
          <w:sz w:val="24"/>
          <w:szCs w:val="24"/>
        </w:rPr>
        <w:t>2.1</w:t>
      </w:r>
      <w:r>
        <w:rPr>
          <w:rFonts w:ascii="Verdana" w:hAnsi="Verdana"/>
          <w:sz w:val="24"/>
          <w:szCs w:val="24"/>
        </w:rPr>
        <w:tab/>
        <w:t xml:space="preserve">CIPFA’s interest in making a submission to the Committee is to provide information and evidence to support consideration of the impact of withdrawal from the EU on public service provision in Scotland. </w:t>
      </w:r>
    </w:p>
    <w:p w:rsidR="003759FD" w:rsidRDefault="003759FD" w:rsidP="003759FD">
      <w:pPr>
        <w:spacing w:after="0"/>
        <w:ind w:left="720" w:hanging="720"/>
        <w:jc w:val="both"/>
        <w:rPr>
          <w:rFonts w:ascii="Verdana" w:hAnsi="Verdana"/>
          <w:sz w:val="24"/>
          <w:szCs w:val="24"/>
        </w:rPr>
      </w:pPr>
    </w:p>
    <w:p w:rsidR="003759FD" w:rsidRDefault="003759FD" w:rsidP="003759FD">
      <w:pPr>
        <w:spacing w:after="0"/>
        <w:ind w:left="720" w:hanging="720"/>
        <w:jc w:val="both"/>
        <w:rPr>
          <w:rFonts w:ascii="Verdana" w:hAnsi="Verdana"/>
          <w:sz w:val="24"/>
          <w:szCs w:val="24"/>
        </w:rPr>
      </w:pPr>
      <w:r>
        <w:rPr>
          <w:rFonts w:ascii="Verdana" w:hAnsi="Verdana"/>
          <w:sz w:val="24"/>
          <w:szCs w:val="24"/>
        </w:rPr>
        <w:t>2.2</w:t>
      </w:r>
      <w:r>
        <w:rPr>
          <w:rFonts w:ascii="Verdana" w:hAnsi="Verdana"/>
          <w:sz w:val="24"/>
          <w:szCs w:val="24"/>
        </w:rPr>
        <w:tab/>
        <w:t xml:space="preserve">The committee are no doubt well aware that the relationship with the EU and the UK is complex.  Many areas where public services operate are </w:t>
      </w:r>
      <w:r w:rsidR="007534E7">
        <w:rPr>
          <w:rFonts w:ascii="Verdana" w:hAnsi="Verdana"/>
          <w:sz w:val="24"/>
          <w:szCs w:val="24"/>
        </w:rPr>
        <w:t>intertwined</w:t>
      </w:r>
      <w:r>
        <w:rPr>
          <w:rFonts w:ascii="Verdana" w:hAnsi="Verdana"/>
          <w:sz w:val="24"/>
          <w:szCs w:val="24"/>
        </w:rPr>
        <w:t xml:space="preserve"> with EU policy, legislation and wider economic activity.  The process of withdrawal from the EU needs to consider what impacts may arise that affect the ability to maintain and invest in public services across Scotland. </w:t>
      </w:r>
    </w:p>
    <w:p w:rsidR="003759FD" w:rsidRDefault="003759FD" w:rsidP="003759FD">
      <w:pPr>
        <w:spacing w:after="0"/>
        <w:ind w:left="720" w:hanging="720"/>
        <w:jc w:val="both"/>
        <w:rPr>
          <w:rFonts w:ascii="Verdana" w:hAnsi="Verdana"/>
          <w:sz w:val="24"/>
          <w:szCs w:val="24"/>
        </w:rPr>
      </w:pPr>
    </w:p>
    <w:p w:rsidR="003759FD" w:rsidRDefault="003759FD" w:rsidP="003759FD">
      <w:pPr>
        <w:spacing w:after="0"/>
        <w:ind w:left="720" w:hanging="720"/>
        <w:jc w:val="both"/>
        <w:rPr>
          <w:rFonts w:ascii="Verdana" w:hAnsi="Verdana"/>
          <w:sz w:val="24"/>
          <w:szCs w:val="24"/>
        </w:rPr>
      </w:pPr>
      <w:r>
        <w:rPr>
          <w:rFonts w:ascii="Verdana" w:hAnsi="Verdana"/>
          <w:sz w:val="24"/>
          <w:szCs w:val="24"/>
        </w:rPr>
        <w:t>2.3</w:t>
      </w:r>
      <w:r>
        <w:rPr>
          <w:rFonts w:ascii="Verdana" w:hAnsi="Verdana"/>
          <w:sz w:val="24"/>
          <w:szCs w:val="24"/>
        </w:rPr>
        <w:tab/>
      </w:r>
      <w:r w:rsidR="00EC5BDE">
        <w:rPr>
          <w:rFonts w:ascii="Verdana" w:hAnsi="Verdana"/>
          <w:sz w:val="24"/>
          <w:szCs w:val="24"/>
        </w:rPr>
        <w:t xml:space="preserve">Our submission will look to summarise the potential public sector issues across health and integration, </w:t>
      </w:r>
      <w:r w:rsidR="007534E7">
        <w:rPr>
          <w:rFonts w:ascii="Verdana" w:hAnsi="Verdana"/>
          <w:sz w:val="24"/>
          <w:szCs w:val="24"/>
        </w:rPr>
        <w:t xml:space="preserve">local government, housing, crime and law enforcement and </w:t>
      </w:r>
      <w:r w:rsidR="00EC5BDE">
        <w:rPr>
          <w:rFonts w:ascii="Verdana" w:hAnsi="Verdana"/>
          <w:sz w:val="24"/>
          <w:szCs w:val="24"/>
        </w:rPr>
        <w:t>higher education</w:t>
      </w:r>
      <w:r w:rsidR="007534E7">
        <w:rPr>
          <w:rFonts w:ascii="Verdana" w:hAnsi="Verdana"/>
          <w:sz w:val="24"/>
          <w:szCs w:val="24"/>
        </w:rPr>
        <w:t>.</w:t>
      </w:r>
      <w:r w:rsidR="00EC5BDE">
        <w:rPr>
          <w:rFonts w:ascii="Verdana" w:hAnsi="Verdana"/>
          <w:sz w:val="24"/>
          <w:szCs w:val="24"/>
        </w:rPr>
        <w:t xml:space="preserve">  This will be drawn from the results of previous research commissioned by CIPFA into the influence of EU membership on UK public services.</w:t>
      </w:r>
      <w:r w:rsidR="00EC5BDE">
        <w:rPr>
          <w:rStyle w:val="FootnoteReference"/>
          <w:rFonts w:ascii="Verdana" w:hAnsi="Verdana"/>
          <w:sz w:val="24"/>
          <w:szCs w:val="24"/>
        </w:rPr>
        <w:footnoteReference w:id="1"/>
      </w:r>
    </w:p>
    <w:p w:rsidR="00D35383" w:rsidRDefault="00D35383" w:rsidP="003759FD">
      <w:pPr>
        <w:spacing w:after="0"/>
        <w:ind w:left="720" w:hanging="720"/>
        <w:jc w:val="both"/>
        <w:rPr>
          <w:rFonts w:ascii="Verdana" w:hAnsi="Verdana"/>
          <w:sz w:val="24"/>
          <w:szCs w:val="24"/>
        </w:rPr>
      </w:pPr>
    </w:p>
    <w:p w:rsidR="00D35383" w:rsidRPr="00C01A8C" w:rsidRDefault="00D35383" w:rsidP="003759FD">
      <w:pPr>
        <w:spacing w:after="0"/>
        <w:ind w:left="720" w:hanging="720"/>
        <w:jc w:val="both"/>
        <w:rPr>
          <w:rFonts w:ascii="Verdana" w:hAnsi="Verdana"/>
          <w:b/>
          <w:sz w:val="24"/>
          <w:szCs w:val="24"/>
        </w:rPr>
      </w:pPr>
      <w:r w:rsidRPr="00C01A8C">
        <w:rPr>
          <w:rFonts w:ascii="Verdana" w:hAnsi="Verdana"/>
          <w:b/>
          <w:sz w:val="24"/>
          <w:szCs w:val="24"/>
        </w:rPr>
        <w:t>3.</w:t>
      </w:r>
      <w:r w:rsidRPr="00C01A8C">
        <w:rPr>
          <w:rFonts w:ascii="Verdana" w:hAnsi="Verdana"/>
          <w:b/>
          <w:sz w:val="24"/>
          <w:szCs w:val="24"/>
        </w:rPr>
        <w:tab/>
        <w:t>Context for Public Services</w:t>
      </w:r>
    </w:p>
    <w:p w:rsidR="00D35383" w:rsidRDefault="00D35383" w:rsidP="003759FD">
      <w:pPr>
        <w:spacing w:after="0"/>
        <w:ind w:left="720" w:hanging="720"/>
        <w:jc w:val="both"/>
        <w:rPr>
          <w:rFonts w:ascii="Verdana" w:hAnsi="Verdana"/>
          <w:sz w:val="24"/>
          <w:szCs w:val="24"/>
        </w:rPr>
      </w:pPr>
    </w:p>
    <w:p w:rsidR="00D35383" w:rsidRDefault="00F11F59" w:rsidP="003759FD">
      <w:pPr>
        <w:spacing w:after="0"/>
        <w:ind w:left="720" w:hanging="720"/>
        <w:jc w:val="both"/>
        <w:rPr>
          <w:rFonts w:ascii="Verdana" w:hAnsi="Verdana"/>
          <w:sz w:val="24"/>
          <w:szCs w:val="24"/>
        </w:rPr>
      </w:pPr>
      <w:r>
        <w:rPr>
          <w:rFonts w:ascii="Verdana" w:hAnsi="Verdana"/>
          <w:sz w:val="24"/>
          <w:szCs w:val="24"/>
        </w:rPr>
        <w:t>3.1</w:t>
      </w:r>
      <w:r>
        <w:rPr>
          <w:rFonts w:ascii="Verdana" w:hAnsi="Verdana"/>
          <w:sz w:val="24"/>
          <w:szCs w:val="24"/>
        </w:rPr>
        <w:tab/>
        <w:t>Public services and the</w:t>
      </w:r>
      <w:r w:rsidR="00C01A8C">
        <w:rPr>
          <w:rFonts w:ascii="Verdana" w:hAnsi="Verdana"/>
          <w:sz w:val="24"/>
          <w:szCs w:val="24"/>
        </w:rPr>
        <w:t>ir</w:t>
      </w:r>
      <w:r>
        <w:rPr>
          <w:rFonts w:ascii="Verdana" w:hAnsi="Verdana"/>
          <w:sz w:val="24"/>
          <w:szCs w:val="24"/>
        </w:rPr>
        <w:t xml:space="preserve"> spending capacity can be adversely impacted by periods of economic downturn or slowdown.  The resulting reductions to tax revenues and potential for the Government to increase borrowing for investment to bolster economic activity, or increase short term spending on employment support measures, can create subsequent funding pressure on other services. </w:t>
      </w:r>
    </w:p>
    <w:p w:rsidR="00F11F59" w:rsidRDefault="00F11F59" w:rsidP="003759FD">
      <w:pPr>
        <w:spacing w:after="0"/>
        <w:ind w:left="720" w:hanging="720"/>
        <w:jc w:val="both"/>
        <w:rPr>
          <w:rFonts w:ascii="Verdana" w:hAnsi="Verdana"/>
          <w:sz w:val="24"/>
          <w:szCs w:val="24"/>
        </w:rPr>
      </w:pPr>
    </w:p>
    <w:p w:rsidR="001807AC" w:rsidRDefault="00F11F59" w:rsidP="003759FD">
      <w:pPr>
        <w:spacing w:after="0"/>
        <w:ind w:left="720" w:hanging="720"/>
        <w:jc w:val="both"/>
        <w:rPr>
          <w:rFonts w:ascii="Verdana" w:hAnsi="Verdana"/>
          <w:sz w:val="24"/>
          <w:szCs w:val="24"/>
        </w:rPr>
      </w:pPr>
      <w:r>
        <w:rPr>
          <w:rFonts w:ascii="Verdana" w:hAnsi="Verdana"/>
          <w:sz w:val="24"/>
          <w:szCs w:val="24"/>
        </w:rPr>
        <w:t>3.2</w:t>
      </w:r>
      <w:r>
        <w:rPr>
          <w:rFonts w:ascii="Verdana" w:hAnsi="Verdana"/>
          <w:sz w:val="24"/>
          <w:szCs w:val="24"/>
        </w:rPr>
        <w:tab/>
        <w:t xml:space="preserve">Maintaining public service spending relies on </w:t>
      </w:r>
      <w:r w:rsidR="00E1370F">
        <w:rPr>
          <w:rFonts w:ascii="Verdana" w:hAnsi="Verdana"/>
          <w:sz w:val="24"/>
          <w:szCs w:val="24"/>
        </w:rPr>
        <w:t>economic</w:t>
      </w:r>
      <w:r>
        <w:rPr>
          <w:rFonts w:ascii="Verdana" w:hAnsi="Verdana"/>
          <w:sz w:val="24"/>
          <w:szCs w:val="24"/>
        </w:rPr>
        <w:t xml:space="preserve"> stability.  The Treasury’s analysis of long-term impacts of EU membership </w:t>
      </w:r>
      <w:r w:rsidR="00E1370F">
        <w:rPr>
          <w:rFonts w:ascii="Verdana" w:hAnsi="Verdana"/>
          <w:sz w:val="24"/>
          <w:szCs w:val="24"/>
        </w:rPr>
        <w:t>and alternatives</w:t>
      </w:r>
      <w:r w:rsidR="00C01A8C">
        <w:rPr>
          <w:rStyle w:val="FootnoteReference"/>
          <w:rFonts w:ascii="Verdana" w:hAnsi="Verdana"/>
          <w:sz w:val="24"/>
          <w:szCs w:val="24"/>
        </w:rPr>
        <w:footnoteReference w:id="2"/>
      </w:r>
      <w:r w:rsidR="00E1370F">
        <w:rPr>
          <w:rFonts w:ascii="Verdana" w:hAnsi="Verdana"/>
          <w:sz w:val="24"/>
          <w:szCs w:val="24"/>
        </w:rPr>
        <w:t xml:space="preserve"> </w:t>
      </w:r>
      <w:r>
        <w:rPr>
          <w:rFonts w:ascii="Verdana" w:hAnsi="Verdana"/>
          <w:sz w:val="24"/>
          <w:szCs w:val="24"/>
        </w:rPr>
        <w:t>estimated that the UK’s GDP growth would reduce in the event of Brexit.  They estimated a loss of 6.2% by 2030</w:t>
      </w:r>
      <w:r w:rsidR="00E1370F">
        <w:rPr>
          <w:rFonts w:ascii="Verdana" w:hAnsi="Verdana"/>
          <w:sz w:val="24"/>
          <w:szCs w:val="24"/>
        </w:rPr>
        <w:t xml:space="preserve"> </w:t>
      </w:r>
      <w:r>
        <w:rPr>
          <w:rFonts w:ascii="Verdana" w:hAnsi="Verdana"/>
          <w:sz w:val="24"/>
          <w:szCs w:val="24"/>
        </w:rPr>
        <w:t xml:space="preserve">or </w:t>
      </w:r>
      <w:r w:rsidR="00E1370F">
        <w:rPr>
          <w:rFonts w:ascii="Verdana" w:hAnsi="Verdana"/>
          <w:sz w:val="24"/>
          <w:szCs w:val="24"/>
        </w:rPr>
        <w:t>£</w:t>
      </w:r>
      <w:r>
        <w:rPr>
          <w:rFonts w:ascii="Verdana" w:hAnsi="Verdana"/>
          <w:sz w:val="24"/>
          <w:szCs w:val="24"/>
        </w:rPr>
        <w:t xml:space="preserve">4,300 for each UK household.  Research by the London School of Economics </w:t>
      </w:r>
      <w:r>
        <w:rPr>
          <w:rFonts w:ascii="Verdana" w:hAnsi="Verdana"/>
          <w:sz w:val="24"/>
          <w:szCs w:val="24"/>
        </w:rPr>
        <w:lastRenderedPageBreak/>
        <w:t>(LSE) in 2016</w:t>
      </w:r>
      <w:r w:rsidR="00C01A8C">
        <w:rPr>
          <w:rStyle w:val="FootnoteReference"/>
          <w:rFonts w:ascii="Verdana" w:hAnsi="Verdana"/>
          <w:sz w:val="24"/>
          <w:szCs w:val="24"/>
        </w:rPr>
        <w:footnoteReference w:id="3"/>
      </w:r>
      <w:r>
        <w:rPr>
          <w:rFonts w:ascii="Verdana" w:hAnsi="Verdana"/>
          <w:sz w:val="24"/>
          <w:szCs w:val="24"/>
        </w:rPr>
        <w:t xml:space="preserve"> estimated this figure </w:t>
      </w:r>
      <w:r w:rsidR="00C01A8C">
        <w:rPr>
          <w:rFonts w:ascii="Verdana" w:hAnsi="Verdana"/>
          <w:sz w:val="24"/>
          <w:szCs w:val="24"/>
        </w:rPr>
        <w:t>lower, in a range</w:t>
      </w:r>
      <w:r>
        <w:rPr>
          <w:rFonts w:ascii="Verdana" w:hAnsi="Verdana"/>
          <w:sz w:val="24"/>
          <w:szCs w:val="24"/>
        </w:rPr>
        <w:t xml:space="preserve"> between 1.3% to 2.6%. </w:t>
      </w:r>
      <w:r w:rsidR="001807AC">
        <w:rPr>
          <w:rFonts w:ascii="Verdana" w:hAnsi="Verdana"/>
          <w:sz w:val="24"/>
          <w:szCs w:val="24"/>
        </w:rPr>
        <w:t xml:space="preserve"> This information points to a lower than expected medium to long-term economic growth rate within the UK as a result of Brexit.  </w:t>
      </w:r>
    </w:p>
    <w:p w:rsidR="001807AC" w:rsidRDefault="001807AC" w:rsidP="003759FD">
      <w:pPr>
        <w:spacing w:after="0"/>
        <w:ind w:left="720" w:hanging="720"/>
        <w:jc w:val="both"/>
        <w:rPr>
          <w:rFonts w:ascii="Verdana" w:hAnsi="Verdana"/>
          <w:sz w:val="24"/>
          <w:szCs w:val="24"/>
        </w:rPr>
      </w:pPr>
    </w:p>
    <w:p w:rsidR="00F11F59" w:rsidRDefault="001807AC" w:rsidP="003759FD">
      <w:pPr>
        <w:spacing w:after="0"/>
        <w:ind w:left="720" w:hanging="720"/>
        <w:jc w:val="both"/>
        <w:rPr>
          <w:rFonts w:ascii="Verdana" w:hAnsi="Verdana"/>
          <w:sz w:val="24"/>
          <w:szCs w:val="24"/>
        </w:rPr>
      </w:pPr>
      <w:r>
        <w:rPr>
          <w:rFonts w:ascii="Verdana" w:hAnsi="Verdana"/>
          <w:sz w:val="24"/>
          <w:szCs w:val="24"/>
        </w:rPr>
        <w:t>3.3</w:t>
      </w:r>
      <w:r>
        <w:rPr>
          <w:rFonts w:ascii="Verdana" w:hAnsi="Verdana"/>
          <w:sz w:val="24"/>
          <w:szCs w:val="24"/>
        </w:rPr>
        <w:tab/>
        <w:t>It is difficult to say with absolute certainty that this impact will be realised as it depends on a range of variables that includes possible policy interventions b</w:t>
      </w:r>
      <w:r w:rsidR="00A7742B">
        <w:rPr>
          <w:rFonts w:ascii="Verdana" w:hAnsi="Verdana"/>
          <w:sz w:val="24"/>
          <w:szCs w:val="24"/>
        </w:rPr>
        <w:t>y</w:t>
      </w:r>
      <w:r>
        <w:rPr>
          <w:rFonts w:ascii="Verdana" w:hAnsi="Verdana"/>
          <w:sz w:val="24"/>
          <w:szCs w:val="24"/>
        </w:rPr>
        <w:t xml:space="preserve"> government</w:t>
      </w:r>
      <w:r w:rsidR="00A7742B">
        <w:rPr>
          <w:rFonts w:ascii="Verdana" w:hAnsi="Verdana"/>
          <w:sz w:val="24"/>
          <w:szCs w:val="24"/>
        </w:rPr>
        <w:t xml:space="preserve"> for example</w:t>
      </w:r>
      <w:r>
        <w:rPr>
          <w:rFonts w:ascii="Verdana" w:hAnsi="Verdana"/>
          <w:sz w:val="24"/>
          <w:szCs w:val="24"/>
        </w:rPr>
        <w:t xml:space="preserve"> to support growth.  </w:t>
      </w:r>
      <w:r w:rsidR="00A7742B">
        <w:rPr>
          <w:rFonts w:ascii="Verdana" w:hAnsi="Verdana"/>
          <w:sz w:val="24"/>
          <w:szCs w:val="24"/>
        </w:rPr>
        <w:t xml:space="preserve">One such </w:t>
      </w:r>
      <w:r w:rsidR="00A1379B">
        <w:rPr>
          <w:rFonts w:ascii="Verdana" w:hAnsi="Verdana"/>
          <w:sz w:val="24"/>
          <w:szCs w:val="24"/>
        </w:rPr>
        <w:t xml:space="preserve">recent </w:t>
      </w:r>
      <w:r w:rsidR="00A7742B">
        <w:rPr>
          <w:rFonts w:ascii="Verdana" w:hAnsi="Verdana"/>
          <w:sz w:val="24"/>
          <w:szCs w:val="24"/>
        </w:rPr>
        <w:t>policy statement is that</w:t>
      </w:r>
      <w:r w:rsidR="00C748FD">
        <w:rPr>
          <w:rFonts w:ascii="Verdana" w:hAnsi="Verdana"/>
          <w:sz w:val="24"/>
          <w:szCs w:val="24"/>
        </w:rPr>
        <w:t xml:space="preserve"> the UK Government has announced its intention to guarantee core elements of EU funding</w:t>
      </w:r>
      <w:r w:rsidR="00A7742B">
        <w:rPr>
          <w:rFonts w:ascii="Verdana" w:hAnsi="Verdana"/>
          <w:sz w:val="24"/>
          <w:szCs w:val="24"/>
        </w:rPr>
        <w:t xml:space="preserve">, such as structural and investment funds, </w:t>
      </w:r>
      <w:r w:rsidR="00C748FD">
        <w:rPr>
          <w:rFonts w:ascii="Verdana" w:hAnsi="Verdana"/>
          <w:sz w:val="24"/>
          <w:szCs w:val="24"/>
        </w:rPr>
        <w:t>beyond the date the UK leaves the EU.</w:t>
      </w:r>
      <w:r w:rsidR="00C748FD">
        <w:rPr>
          <w:rStyle w:val="FootnoteReference"/>
          <w:rFonts w:ascii="Verdana" w:hAnsi="Verdana"/>
          <w:sz w:val="24"/>
          <w:szCs w:val="24"/>
        </w:rPr>
        <w:footnoteReference w:id="4"/>
      </w:r>
      <w:r w:rsidR="00C748FD">
        <w:rPr>
          <w:rFonts w:ascii="Verdana" w:hAnsi="Verdana"/>
          <w:sz w:val="24"/>
          <w:szCs w:val="24"/>
        </w:rPr>
        <w:t xml:space="preserve"> </w:t>
      </w:r>
      <w:r w:rsidR="00F62F4C">
        <w:rPr>
          <w:rFonts w:ascii="Verdana" w:hAnsi="Verdana"/>
          <w:sz w:val="24"/>
          <w:szCs w:val="24"/>
        </w:rPr>
        <w:t xml:space="preserve"> </w:t>
      </w:r>
      <w:r>
        <w:rPr>
          <w:rFonts w:ascii="Verdana" w:hAnsi="Verdana"/>
          <w:sz w:val="24"/>
          <w:szCs w:val="24"/>
        </w:rPr>
        <w:t>Nevertheless, the subsequent impact on available resources for public services should be considered</w:t>
      </w:r>
      <w:r w:rsidR="00C748FD">
        <w:rPr>
          <w:rFonts w:ascii="Verdana" w:hAnsi="Verdana"/>
          <w:sz w:val="24"/>
          <w:szCs w:val="24"/>
        </w:rPr>
        <w:t xml:space="preserve"> in a post EU environment</w:t>
      </w:r>
      <w:r>
        <w:rPr>
          <w:rFonts w:ascii="Verdana" w:hAnsi="Verdana"/>
          <w:sz w:val="24"/>
          <w:szCs w:val="24"/>
        </w:rPr>
        <w:t>.</w:t>
      </w:r>
    </w:p>
    <w:p w:rsidR="00C01A8C" w:rsidRDefault="00C01A8C" w:rsidP="003759FD">
      <w:pPr>
        <w:spacing w:after="0"/>
        <w:ind w:left="720" w:hanging="720"/>
        <w:jc w:val="both"/>
        <w:rPr>
          <w:rFonts w:ascii="Verdana" w:hAnsi="Verdana"/>
          <w:sz w:val="24"/>
          <w:szCs w:val="24"/>
        </w:rPr>
      </w:pPr>
    </w:p>
    <w:p w:rsidR="00C01A8C" w:rsidRDefault="00C01A8C" w:rsidP="003759FD">
      <w:pPr>
        <w:spacing w:after="0"/>
        <w:ind w:left="720" w:hanging="720"/>
        <w:jc w:val="both"/>
        <w:rPr>
          <w:rFonts w:ascii="Verdana" w:hAnsi="Verdana"/>
          <w:sz w:val="24"/>
          <w:szCs w:val="24"/>
        </w:rPr>
      </w:pPr>
      <w:r>
        <w:rPr>
          <w:rFonts w:ascii="Verdana" w:hAnsi="Verdana"/>
          <w:sz w:val="24"/>
          <w:szCs w:val="24"/>
        </w:rPr>
        <w:t>3.</w:t>
      </w:r>
      <w:r w:rsidR="001807AC">
        <w:rPr>
          <w:rFonts w:ascii="Verdana" w:hAnsi="Verdana"/>
          <w:sz w:val="24"/>
          <w:szCs w:val="24"/>
        </w:rPr>
        <w:t>4</w:t>
      </w:r>
      <w:r>
        <w:rPr>
          <w:rFonts w:ascii="Verdana" w:hAnsi="Verdana"/>
          <w:sz w:val="24"/>
          <w:szCs w:val="24"/>
        </w:rPr>
        <w:tab/>
      </w:r>
      <w:r w:rsidR="00C748FD">
        <w:rPr>
          <w:rFonts w:ascii="Verdana" w:hAnsi="Verdana"/>
          <w:sz w:val="24"/>
          <w:szCs w:val="24"/>
        </w:rPr>
        <w:t xml:space="preserve">A further funding element to consider is the availability of additional funding for services due to savings in the net contribution made to the EU by the UK.  </w:t>
      </w:r>
      <w:r w:rsidR="001807AC">
        <w:rPr>
          <w:rFonts w:ascii="Verdana" w:hAnsi="Verdana"/>
          <w:sz w:val="24"/>
          <w:szCs w:val="24"/>
        </w:rPr>
        <w:t>During the referendum campaign, both the leave</w:t>
      </w:r>
      <w:r w:rsidR="001807AC">
        <w:rPr>
          <w:rStyle w:val="FootnoteReference"/>
          <w:rFonts w:ascii="Verdana" w:hAnsi="Verdana"/>
          <w:sz w:val="24"/>
          <w:szCs w:val="24"/>
        </w:rPr>
        <w:footnoteReference w:id="5"/>
      </w:r>
      <w:r w:rsidR="001807AC">
        <w:rPr>
          <w:rFonts w:ascii="Verdana" w:hAnsi="Verdana"/>
          <w:sz w:val="24"/>
          <w:szCs w:val="24"/>
        </w:rPr>
        <w:t xml:space="preserve"> and remain</w:t>
      </w:r>
      <w:r w:rsidR="001807AC">
        <w:rPr>
          <w:rStyle w:val="FootnoteReference"/>
          <w:rFonts w:ascii="Verdana" w:hAnsi="Verdana"/>
          <w:sz w:val="24"/>
          <w:szCs w:val="24"/>
        </w:rPr>
        <w:footnoteReference w:id="6"/>
      </w:r>
      <w:r w:rsidR="001807AC">
        <w:rPr>
          <w:rFonts w:ascii="Verdana" w:hAnsi="Verdana"/>
          <w:sz w:val="24"/>
          <w:szCs w:val="24"/>
        </w:rPr>
        <w:t xml:space="preserve"> camps released financial data that either supported how the UK benefits from EU membership or how it is burdened by its fees and charges.</w:t>
      </w:r>
      <w:r w:rsidR="00D03736">
        <w:rPr>
          <w:rFonts w:ascii="Verdana" w:hAnsi="Verdana"/>
          <w:sz w:val="24"/>
          <w:szCs w:val="24"/>
        </w:rPr>
        <w:t xml:space="preserve">  A key message from the leave campaign was the level of financial contribution made to the EU from the UK and how this could be used to pay for public services.  </w:t>
      </w:r>
    </w:p>
    <w:p w:rsidR="00D03736" w:rsidRDefault="00D03736" w:rsidP="003759FD">
      <w:pPr>
        <w:spacing w:after="0"/>
        <w:ind w:left="720" w:hanging="720"/>
        <w:jc w:val="both"/>
        <w:rPr>
          <w:rFonts w:ascii="Verdana" w:hAnsi="Verdana"/>
          <w:sz w:val="24"/>
          <w:szCs w:val="24"/>
        </w:rPr>
      </w:pPr>
    </w:p>
    <w:p w:rsidR="00D03736" w:rsidRDefault="00D03736" w:rsidP="003759FD">
      <w:pPr>
        <w:spacing w:after="0"/>
        <w:ind w:left="720" w:hanging="720"/>
        <w:jc w:val="both"/>
        <w:rPr>
          <w:rFonts w:ascii="Verdana" w:hAnsi="Verdana"/>
          <w:sz w:val="24"/>
          <w:szCs w:val="24"/>
        </w:rPr>
      </w:pPr>
      <w:r>
        <w:rPr>
          <w:rFonts w:ascii="Verdana" w:hAnsi="Verdana"/>
          <w:sz w:val="24"/>
          <w:szCs w:val="24"/>
        </w:rPr>
        <w:t>3.5</w:t>
      </w:r>
      <w:r>
        <w:rPr>
          <w:rFonts w:ascii="Verdana" w:hAnsi="Verdana"/>
          <w:sz w:val="24"/>
          <w:szCs w:val="24"/>
        </w:rPr>
        <w:tab/>
        <w:t xml:space="preserve">In April 2016, the Institute for Fiscal Studies (IFS) </w:t>
      </w:r>
      <w:r w:rsidR="004A1F14">
        <w:rPr>
          <w:rFonts w:ascii="Verdana" w:hAnsi="Verdana"/>
          <w:sz w:val="24"/>
          <w:szCs w:val="24"/>
        </w:rPr>
        <w:t>reported that the 2014 annual UK public spending was £743bn.</w:t>
      </w:r>
      <w:r w:rsidR="00F62F4C">
        <w:rPr>
          <w:rStyle w:val="FootnoteReference"/>
          <w:rFonts w:ascii="Verdana" w:hAnsi="Verdana"/>
          <w:sz w:val="24"/>
          <w:szCs w:val="24"/>
        </w:rPr>
        <w:footnoteReference w:id="7"/>
      </w:r>
      <w:r w:rsidR="004A1F14">
        <w:rPr>
          <w:rFonts w:ascii="Verdana" w:hAnsi="Verdana"/>
          <w:sz w:val="24"/>
          <w:szCs w:val="24"/>
        </w:rPr>
        <w:t xml:space="preserve"> </w:t>
      </w:r>
      <w:r w:rsidR="00AF32C7">
        <w:rPr>
          <w:rFonts w:ascii="Verdana" w:hAnsi="Verdana"/>
          <w:sz w:val="24"/>
          <w:szCs w:val="24"/>
        </w:rPr>
        <w:t xml:space="preserve"> European</w:t>
      </w:r>
      <w:r w:rsidR="00C678B2">
        <w:rPr>
          <w:rFonts w:ascii="Verdana" w:hAnsi="Verdana"/>
          <w:sz w:val="24"/>
          <w:szCs w:val="24"/>
        </w:rPr>
        <w:t xml:space="preserve"> Commission figures show that the UK’s gross contribution to the EU Budget was £11.3bn.</w:t>
      </w:r>
      <w:r w:rsidR="00C678B2">
        <w:rPr>
          <w:rStyle w:val="FootnoteReference"/>
          <w:rFonts w:ascii="Verdana" w:hAnsi="Verdana"/>
          <w:sz w:val="24"/>
          <w:szCs w:val="24"/>
        </w:rPr>
        <w:footnoteReference w:id="8"/>
      </w:r>
      <w:r w:rsidR="001D17E1">
        <w:rPr>
          <w:rFonts w:ascii="Verdana" w:hAnsi="Verdana"/>
          <w:sz w:val="24"/>
          <w:szCs w:val="24"/>
        </w:rPr>
        <w:t xml:space="preserve">  The IFS calculated that the UK received back £5.6bn through various funding streams </w:t>
      </w:r>
      <w:r w:rsidR="00AF32C7">
        <w:rPr>
          <w:rFonts w:ascii="Verdana" w:hAnsi="Verdana"/>
          <w:sz w:val="24"/>
          <w:szCs w:val="24"/>
        </w:rPr>
        <w:t xml:space="preserve">leaving a UK net contribution of £5.7bn.  This equates to less than 1% of overall </w:t>
      </w:r>
      <w:r w:rsidR="00A1379B">
        <w:rPr>
          <w:rFonts w:ascii="Verdana" w:hAnsi="Verdana"/>
          <w:sz w:val="24"/>
          <w:szCs w:val="24"/>
        </w:rPr>
        <w:t xml:space="preserve">UK </w:t>
      </w:r>
      <w:r w:rsidR="00AF32C7">
        <w:rPr>
          <w:rFonts w:ascii="Verdana" w:hAnsi="Verdana"/>
          <w:sz w:val="24"/>
          <w:szCs w:val="24"/>
        </w:rPr>
        <w:t xml:space="preserve">spend </w:t>
      </w:r>
      <w:r w:rsidR="00A1379B">
        <w:rPr>
          <w:rFonts w:ascii="Verdana" w:hAnsi="Verdana"/>
          <w:sz w:val="24"/>
          <w:szCs w:val="24"/>
        </w:rPr>
        <w:t xml:space="preserve">on public services </w:t>
      </w:r>
      <w:r w:rsidR="00AF32C7">
        <w:rPr>
          <w:rFonts w:ascii="Verdana" w:hAnsi="Verdana"/>
          <w:sz w:val="24"/>
          <w:szCs w:val="24"/>
        </w:rPr>
        <w:t>and does not represent a material boost in available resources</w:t>
      </w:r>
      <w:r w:rsidR="00A1379B">
        <w:rPr>
          <w:rFonts w:ascii="Verdana" w:hAnsi="Verdana"/>
          <w:sz w:val="24"/>
          <w:szCs w:val="24"/>
        </w:rPr>
        <w:t>.</w:t>
      </w:r>
      <w:r w:rsidR="00AF32C7">
        <w:rPr>
          <w:rFonts w:ascii="Verdana" w:hAnsi="Verdana"/>
          <w:sz w:val="24"/>
          <w:szCs w:val="24"/>
        </w:rPr>
        <w:t xml:space="preserve">  As well as this, there is no guarantee that the UK government will choose to utilise any additional resources from EU withdrawal to support public service delivery.</w:t>
      </w:r>
    </w:p>
    <w:p w:rsidR="00AF32C7" w:rsidRDefault="00AF32C7" w:rsidP="003759FD">
      <w:pPr>
        <w:spacing w:after="0"/>
        <w:ind w:left="720" w:hanging="720"/>
        <w:jc w:val="both"/>
        <w:rPr>
          <w:rFonts w:ascii="Verdana" w:hAnsi="Verdana"/>
          <w:sz w:val="24"/>
          <w:szCs w:val="24"/>
        </w:rPr>
      </w:pPr>
    </w:p>
    <w:p w:rsidR="00AF32C7" w:rsidRDefault="00AF32C7" w:rsidP="003759FD">
      <w:pPr>
        <w:spacing w:after="0"/>
        <w:ind w:left="720" w:hanging="720"/>
        <w:jc w:val="both"/>
        <w:rPr>
          <w:rFonts w:ascii="Verdana" w:hAnsi="Verdana"/>
          <w:sz w:val="24"/>
          <w:szCs w:val="24"/>
        </w:rPr>
      </w:pPr>
      <w:r>
        <w:rPr>
          <w:rFonts w:ascii="Verdana" w:hAnsi="Verdana"/>
          <w:sz w:val="24"/>
          <w:szCs w:val="24"/>
        </w:rPr>
        <w:t>3.6</w:t>
      </w:r>
      <w:r>
        <w:rPr>
          <w:rFonts w:ascii="Verdana" w:hAnsi="Verdana"/>
          <w:sz w:val="24"/>
          <w:szCs w:val="24"/>
        </w:rPr>
        <w:tab/>
        <w:t xml:space="preserve">If there </w:t>
      </w:r>
      <w:r w:rsidR="00AA32CF">
        <w:rPr>
          <w:rFonts w:ascii="Verdana" w:hAnsi="Verdana"/>
          <w:sz w:val="24"/>
          <w:szCs w:val="24"/>
        </w:rPr>
        <w:t>are</w:t>
      </w:r>
      <w:r>
        <w:rPr>
          <w:rFonts w:ascii="Verdana" w:hAnsi="Verdana"/>
          <w:sz w:val="24"/>
          <w:szCs w:val="24"/>
        </w:rPr>
        <w:t xml:space="preserve"> </w:t>
      </w:r>
      <w:r w:rsidR="0078628F">
        <w:rPr>
          <w:rFonts w:ascii="Verdana" w:hAnsi="Verdana"/>
          <w:sz w:val="24"/>
          <w:szCs w:val="24"/>
        </w:rPr>
        <w:t>changes in</w:t>
      </w:r>
      <w:r>
        <w:rPr>
          <w:rFonts w:ascii="Verdana" w:hAnsi="Verdana"/>
          <w:sz w:val="24"/>
          <w:szCs w:val="24"/>
        </w:rPr>
        <w:t xml:space="preserve"> funding of public services by the UK Government</w:t>
      </w:r>
      <w:r w:rsidR="0078628F">
        <w:rPr>
          <w:rFonts w:ascii="Verdana" w:hAnsi="Verdana"/>
          <w:sz w:val="24"/>
          <w:szCs w:val="24"/>
        </w:rPr>
        <w:t xml:space="preserve"> that are positive or negative</w:t>
      </w:r>
      <w:r>
        <w:rPr>
          <w:rFonts w:ascii="Verdana" w:hAnsi="Verdana"/>
          <w:sz w:val="24"/>
          <w:szCs w:val="24"/>
        </w:rPr>
        <w:t>, Scotland will be allocated its share through the Barnett Funding Formula</w:t>
      </w:r>
      <w:r w:rsidR="00AA32CF">
        <w:rPr>
          <w:rFonts w:ascii="Verdana" w:hAnsi="Verdana"/>
          <w:sz w:val="24"/>
          <w:szCs w:val="24"/>
        </w:rPr>
        <w:t xml:space="preserve"> arrangements</w:t>
      </w:r>
      <w:r>
        <w:rPr>
          <w:rFonts w:ascii="Verdana" w:hAnsi="Verdana"/>
          <w:sz w:val="24"/>
          <w:szCs w:val="24"/>
        </w:rPr>
        <w:t xml:space="preserve">.  </w:t>
      </w:r>
      <w:r w:rsidR="0078628F">
        <w:rPr>
          <w:rFonts w:ascii="Verdana" w:hAnsi="Verdana"/>
          <w:sz w:val="24"/>
          <w:szCs w:val="24"/>
        </w:rPr>
        <w:t xml:space="preserve">However, the current devolution settlement for Scotland means that a greater share of Scotland’s Revenue is </w:t>
      </w:r>
      <w:r w:rsidR="00482E37">
        <w:rPr>
          <w:rFonts w:ascii="Verdana" w:hAnsi="Verdana"/>
          <w:sz w:val="24"/>
          <w:szCs w:val="24"/>
        </w:rPr>
        <w:t xml:space="preserve">to be </w:t>
      </w:r>
      <w:r w:rsidR="0078628F">
        <w:rPr>
          <w:rFonts w:ascii="Verdana" w:hAnsi="Verdana"/>
          <w:sz w:val="24"/>
          <w:szCs w:val="24"/>
        </w:rPr>
        <w:t xml:space="preserve">raised locally.  This means that the impact </w:t>
      </w:r>
      <w:r w:rsidR="00482E37">
        <w:rPr>
          <w:rFonts w:ascii="Verdana" w:hAnsi="Verdana"/>
          <w:sz w:val="24"/>
          <w:szCs w:val="24"/>
        </w:rPr>
        <w:t xml:space="preserve">through Barnett Funding arrangements </w:t>
      </w:r>
      <w:r w:rsidR="0078628F">
        <w:rPr>
          <w:rFonts w:ascii="Verdana" w:hAnsi="Verdana"/>
          <w:sz w:val="24"/>
          <w:szCs w:val="24"/>
        </w:rPr>
        <w:t xml:space="preserve">is likely to be small and, if negative, Scotland may have to consider increased taxation in order to maintain or improve on the current level of services to match </w:t>
      </w:r>
      <w:r w:rsidR="00482E37">
        <w:rPr>
          <w:rFonts w:ascii="Verdana" w:hAnsi="Verdana"/>
          <w:sz w:val="24"/>
          <w:szCs w:val="24"/>
        </w:rPr>
        <w:t xml:space="preserve">future </w:t>
      </w:r>
      <w:r w:rsidR="0078628F">
        <w:rPr>
          <w:rFonts w:ascii="Verdana" w:hAnsi="Verdana"/>
          <w:sz w:val="24"/>
          <w:szCs w:val="24"/>
        </w:rPr>
        <w:t>demands.</w:t>
      </w:r>
    </w:p>
    <w:p w:rsidR="00482E37" w:rsidRDefault="00482E37" w:rsidP="003759FD">
      <w:pPr>
        <w:spacing w:after="0"/>
        <w:ind w:left="720" w:hanging="720"/>
        <w:jc w:val="both"/>
        <w:rPr>
          <w:rFonts w:ascii="Verdana" w:hAnsi="Verdana"/>
          <w:sz w:val="24"/>
          <w:szCs w:val="24"/>
        </w:rPr>
      </w:pPr>
    </w:p>
    <w:p w:rsidR="00482E37" w:rsidRDefault="00482E37" w:rsidP="003759FD">
      <w:pPr>
        <w:spacing w:after="0"/>
        <w:ind w:left="720" w:hanging="720"/>
        <w:jc w:val="both"/>
        <w:rPr>
          <w:rFonts w:ascii="Verdana" w:hAnsi="Verdana"/>
          <w:sz w:val="24"/>
          <w:szCs w:val="24"/>
        </w:rPr>
      </w:pPr>
      <w:r>
        <w:rPr>
          <w:rFonts w:ascii="Verdana" w:hAnsi="Verdana"/>
          <w:sz w:val="24"/>
          <w:szCs w:val="24"/>
        </w:rPr>
        <w:t>3.7</w:t>
      </w:r>
      <w:r>
        <w:rPr>
          <w:rFonts w:ascii="Verdana" w:hAnsi="Verdana"/>
          <w:sz w:val="24"/>
          <w:szCs w:val="24"/>
        </w:rPr>
        <w:tab/>
        <w:t xml:space="preserve">A further question to consider is the future of the existing funding arrangements post Brexit.  CIPFA considers the current funding arrangements through the Barnett Formula are </w:t>
      </w:r>
      <w:r w:rsidR="006645FB">
        <w:rPr>
          <w:rFonts w:ascii="Verdana" w:hAnsi="Verdana"/>
          <w:sz w:val="24"/>
          <w:szCs w:val="24"/>
        </w:rPr>
        <w:t xml:space="preserve">already </w:t>
      </w:r>
      <w:r>
        <w:rPr>
          <w:rFonts w:ascii="Verdana" w:hAnsi="Verdana"/>
          <w:sz w:val="24"/>
          <w:szCs w:val="24"/>
        </w:rPr>
        <w:t>no longer fit for purpose.</w:t>
      </w:r>
      <w:r w:rsidR="007C58AF">
        <w:rPr>
          <w:rStyle w:val="FootnoteReference"/>
          <w:rFonts w:ascii="Verdana" w:hAnsi="Verdana"/>
          <w:sz w:val="24"/>
          <w:szCs w:val="24"/>
        </w:rPr>
        <w:footnoteReference w:id="9"/>
      </w:r>
      <w:r>
        <w:rPr>
          <w:rFonts w:ascii="Verdana" w:hAnsi="Verdana"/>
          <w:sz w:val="24"/>
          <w:szCs w:val="24"/>
        </w:rPr>
        <w:t xml:space="preserve">  This is likely to be </w:t>
      </w:r>
      <w:r w:rsidR="006645FB">
        <w:rPr>
          <w:rFonts w:ascii="Verdana" w:hAnsi="Verdana"/>
          <w:sz w:val="24"/>
          <w:szCs w:val="24"/>
        </w:rPr>
        <w:t xml:space="preserve">made more complex if the UK Government intends to replace existing EU </w:t>
      </w:r>
      <w:r w:rsidR="0036430E">
        <w:rPr>
          <w:rFonts w:ascii="Verdana" w:hAnsi="Verdana"/>
          <w:sz w:val="24"/>
          <w:szCs w:val="24"/>
        </w:rPr>
        <w:t>f</w:t>
      </w:r>
      <w:r w:rsidR="006645FB">
        <w:rPr>
          <w:rFonts w:ascii="Verdana" w:hAnsi="Verdana"/>
          <w:sz w:val="24"/>
          <w:szCs w:val="24"/>
        </w:rPr>
        <w:t>unding</w:t>
      </w:r>
      <w:r w:rsidR="0036430E">
        <w:rPr>
          <w:rFonts w:ascii="Verdana" w:hAnsi="Verdana"/>
          <w:sz w:val="24"/>
          <w:szCs w:val="24"/>
        </w:rPr>
        <w:t xml:space="preserve"> across the UK and to try to make </w:t>
      </w:r>
      <w:r w:rsidR="007C58AF">
        <w:rPr>
          <w:rFonts w:ascii="Verdana" w:hAnsi="Verdana"/>
          <w:sz w:val="24"/>
          <w:szCs w:val="24"/>
        </w:rPr>
        <w:t xml:space="preserve">this work </w:t>
      </w:r>
      <w:r w:rsidR="0036430E">
        <w:rPr>
          <w:rFonts w:ascii="Verdana" w:hAnsi="Verdana"/>
          <w:sz w:val="24"/>
          <w:szCs w:val="24"/>
        </w:rPr>
        <w:t xml:space="preserve">within existing arrangements that only cater for tax </w:t>
      </w:r>
      <w:r w:rsidR="007C58AF">
        <w:rPr>
          <w:rFonts w:ascii="Verdana" w:hAnsi="Verdana"/>
          <w:sz w:val="24"/>
          <w:szCs w:val="24"/>
        </w:rPr>
        <w:t xml:space="preserve">powers or Barnett </w:t>
      </w:r>
      <w:r w:rsidR="00A1379B">
        <w:rPr>
          <w:rFonts w:ascii="Verdana" w:hAnsi="Verdana"/>
          <w:sz w:val="24"/>
          <w:szCs w:val="24"/>
        </w:rPr>
        <w:t xml:space="preserve">formula </w:t>
      </w:r>
      <w:r w:rsidR="007C58AF">
        <w:rPr>
          <w:rFonts w:ascii="Verdana" w:hAnsi="Verdana"/>
          <w:sz w:val="24"/>
          <w:szCs w:val="24"/>
        </w:rPr>
        <w:t>funding as the mechanisms for providing for the Scottish Budget</w:t>
      </w:r>
      <w:r w:rsidR="0036430E">
        <w:rPr>
          <w:rFonts w:ascii="Verdana" w:hAnsi="Verdana"/>
          <w:sz w:val="24"/>
          <w:szCs w:val="24"/>
        </w:rPr>
        <w:t>.</w:t>
      </w:r>
      <w:r w:rsidR="00283807">
        <w:rPr>
          <w:rStyle w:val="FootnoteReference"/>
          <w:rFonts w:ascii="Verdana" w:hAnsi="Verdana"/>
          <w:sz w:val="24"/>
          <w:szCs w:val="24"/>
        </w:rPr>
        <w:footnoteReference w:id="10"/>
      </w:r>
      <w:r w:rsidR="0036430E">
        <w:rPr>
          <w:rFonts w:ascii="Verdana" w:hAnsi="Verdana"/>
          <w:sz w:val="24"/>
          <w:szCs w:val="24"/>
        </w:rPr>
        <w:t xml:space="preserve"> </w:t>
      </w:r>
      <w:r>
        <w:rPr>
          <w:rFonts w:ascii="Verdana" w:hAnsi="Verdana"/>
          <w:sz w:val="24"/>
          <w:szCs w:val="24"/>
        </w:rPr>
        <w:t xml:space="preserve"> </w:t>
      </w:r>
      <w:r w:rsidR="007C58AF">
        <w:rPr>
          <w:rFonts w:ascii="Verdana" w:hAnsi="Verdana"/>
          <w:sz w:val="24"/>
          <w:szCs w:val="24"/>
        </w:rPr>
        <w:t>CIPFA would advocate that these mechanisms need review</w:t>
      </w:r>
      <w:r w:rsidR="00283807">
        <w:rPr>
          <w:rFonts w:ascii="Verdana" w:hAnsi="Verdana"/>
          <w:sz w:val="24"/>
          <w:szCs w:val="24"/>
        </w:rPr>
        <w:t>,</w:t>
      </w:r>
      <w:r w:rsidR="007C58AF">
        <w:rPr>
          <w:rFonts w:ascii="Verdana" w:hAnsi="Verdana"/>
          <w:sz w:val="24"/>
          <w:szCs w:val="24"/>
        </w:rPr>
        <w:t xml:space="preserve"> change or supplementing in the light of Brexit.</w:t>
      </w:r>
      <w:r w:rsidR="009D30CF">
        <w:rPr>
          <w:rFonts w:ascii="Verdana" w:hAnsi="Verdana"/>
          <w:sz w:val="24"/>
          <w:szCs w:val="24"/>
        </w:rPr>
        <w:t xml:space="preserve">  In the longer-term CIPFA would advocate replacement of the Barnett Formula to meet clearly stated aims for distributing funding to Scotland, Wales and Northern Ireland.</w:t>
      </w:r>
      <w:r w:rsidR="009D30CF">
        <w:rPr>
          <w:rStyle w:val="FootnoteReference"/>
          <w:rFonts w:ascii="Verdana" w:hAnsi="Verdana"/>
          <w:sz w:val="24"/>
          <w:szCs w:val="24"/>
        </w:rPr>
        <w:footnoteReference w:id="11"/>
      </w:r>
      <w:r w:rsidR="009D30CF">
        <w:rPr>
          <w:rFonts w:ascii="Verdana" w:hAnsi="Verdana"/>
          <w:sz w:val="24"/>
          <w:szCs w:val="24"/>
        </w:rPr>
        <w:t xml:space="preserve"> </w:t>
      </w:r>
    </w:p>
    <w:p w:rsidR="001807AC" w:rsidRDefault="001807AC" w:rsidP="003759FD">
      <w:pPr>
        <w:spacing w:after="0"/>
        <w:ind w:left="720" w:hanging="720"/>
        <w:jc w:val="both"/>
        <w:rPr>
          <w:rFonts w:ascii="Verdana" w:hAnsi="Verdana"/>
          <w:sz w:val="24"/>
          <w:szCs w:val="24"/>
        </w:rPr>
      </w:pPr>
    </w:p>
    <w:p w:rsidR="00D35383" w:rsidRPr="00EA4273" w:rsidRDefault="00D35383" w:rsidP="003759FD">
      <w:pPr>
        <w:spacing w:after="0"/>
        <w:ind w:left="720" w:hanging="720"/>
        <w:jc w:val="both"/>
        <w:rPr>
          <w:rFonts w:ascii="Verdana" w:hAnsi="Verdana"/>
          <w:b/>
          <w:sz w:val="24"/>
          <w:szCs w:val="24"/>
        </w:rPr>
      </w:pPr>
      <w:r w:rsidRPr="00EA4273">
        <w:rPr>
          <w:rFonts w:ascii="Verdana" w:hAnsi="Verdana"/>
          <w:b/>
          <w:sz w:val="24"/>
          <w:szCs w:val="24"/>
        </w:rPr>
        <w:t>4.</w:t>
      </w:r>
      <w:r w:rsidRPr="00EA4273">
        <w:rPr>
          <w:rFonts w:ascii="Verdana" w:hAnsi="Verdana"/>
          <w:b/>
          <w:sz w:val="24"/>
          <w:szCs w:val="24"/>
        </w:rPr>
        <w:tab/>
      </w:r>
      <w:r w:rsidR="00B15361" w:rsidRPr="00EA4273">
        <w:rPr>
          <w:rFonts w:ascii="Verdana" w:hAnsi="Verdana"/>
          <w:b/>
          <w:sz w:val="24"/>
          <w:szCs w:val="24"/>
        </w:rPr>
        <w:t>Issues</w:t>
      </w:r>
      <w:r w:rsidRPr="00EA4273">
        <w:rPr>
          <w:rFonts w:ascii="Verdana" w:hAnsi="Verdana"/>
          <w:b/>
          <w:sz w:val="24"/>
          <w:szCs w:val="24"/>
        </w:rPr>
        <w:t xml:space="preserve"> for Public Services</w:t>
      </w:r>
    </w:p>
    <w:p w:rsidR="00D35383" w:rsidRDefault="00D35383" w:rsidP="003759FD">
      <w:pPr>
        <w:spacing w:after="0"/>
        <w:ind w:left="720" w:hanging="720"/>
        <w:jc w:val="both"/>
        <w:rPr>
          <w:rFonts w:ascii="Verdana" w:hAnsi="Verdana"/>
          <w:sz w:val="24"/>
          <w:szCs w:val="24"/>
        </w:rPr>
      </w:pPr>
    </w:p>
    <w:p w:rsidR="009C0DF0" w:rsidRPr="00EA4273" w:rsidRDefault="009C0DF0" w:rsidP="00295851">
      <w:pPr>
        <w:spacing w:after="0"/>
        <w:ind w:left="720"/>
        <w:jc w:val="both"/>
        <w:rPr>
          <w:rFonts w:ascii="Verdana" w:hAnsi="Verdana"/>
          <w:b/>
          <w:sz w:val="24"/>
          <w:szCs w:val="24"/>
        </w:rPr>
      </w:pPr>
      <w:r w:rsidRPr="00EA4273">
        <w:rPr>
          <w:rFonts w:ascii="Verdana" w:hAnsi="Verdana"/>
          <w:b/>
          <w:sz w:val="24"/>
          <w:szCs w:val="24"/>
        </w:rPr>
        <w:t>Health and Integration:</w:t>
      </w:r>
    </w:p>
    <w:p w:rsidR="009C0DF0" w:rsidRDefault="009C0DF0" w:rsidP="003759FD">
      <w:pPr>
        <w:spacing w:after="0"/>
        <w:ind w:left="720" w:hanging="720"/>
        <w:jc w:val="both"/>
        <w:rPr>
          <w:rFonts w:ascii="Verdana" w:hAnsi="Verdana"/>
          <w:sz w:val="24"/>
          <w:szCs w:val="24"/>
        </w:rPr>
      </w:pPr>
    </w:p>
    <w:p w:rsidR="009C0DF0" w:rsidRDefault="009C0DF0" w:rsidP="003759FD">
      <w:pPr>
        <w:spacing w:after="0"/>
        <w:ind w:left="720" w:hanging="720"/>
        <w:jc w:val="both"/>
        <w:rPr>
          <w:rFonts w:ascii="Verdana" w:hAnsi="Verdana"/>
          <w:sz w:val="24"/>
          <w:szCs w:val="24"/>
        </w:rPr>
      </w:pPr>
      <w:r>
        <w:rPr>
          <w:rFonts w:ascii="Verdana" w:hAnsi="Verdana"/>
          <w:sz w:val="24"/>
          <w:szCs w:val="24"/>
        </w:rPr>
        <w:t>4.1</w:t>
      </w:r>
      <w:r>
        <w:rPr>
          <w:rFonts w:ascii="Verdana" w:hAnsi="Verdana"/>
          <w:sz w:val="24"/>
          <w:szCs w:val="24"/>
        </w:rPr>
        <w:tab/>
      </w:r>
      <w:r w:rsidR="00A61B0F">
        <w:rPr>
          <w:rFonts w:ascii="Verdana" w:hAnsi="Verdana"/>
          <w:sz w:val="24"/>
          <w:szCs w:val="24"/>
        </w:rPr>
        <w:t>Government reviews show that 10% of health and social care professionals in the NHS are from countries within the European Economic Area (EEA).</w:t>
      </w:r>
      <w:r w:rsidR="00A61B0F">
        <w:rPr>
          <w:rStyle w:val="FootnoteReference"/>
          <w:rFonts w:ascii="Verdana" w:hAnsi="Verdana"/>
          <w:sz w:val="24"/>
          <w:szCs w:val="24"/>
        </w:rPr>
        <w:footnoteReference w:id="12"/>
      </w:r>
      <w:r w:rsidR="00A61B0F">
        <w:rPr>
          <w:rFonts w:ascii="Verdana" w:hAnsi="Verdana"/>
          <w:sz w:val="24"/>
          <w:szCs w:val="24"/>
        </w:rPr>
        <w:t xml:space="preserve"> </w:t>
      </w:r>
      <w:r w:rsidR="00A1379B">
        <w:rPr>
          <w:rFonts w:ascii="Verdana" w:hAnsi="Verdana"/>
          <w:sz w:val="24"/>
          <w:szCs w:val="24"/>
        </w:rPr>
        <w:t xml:space="preserve"> </w:t>
      </w:r>
      <w:r w:rsidR="00B77541">
        <w:rPr>
          <w:rFonts w:ascii="Verdana" w:hAnsi="Verdana"/>
          <w:sz w:val="24"/>
          <w:szCs w:val="24"/>
        </w:rPr>
        <w:t xml:space="preserve">Nursing in particular has benefitted from the free movement of professionals.  </w:t>
      </w:r>
    </w:p>
    <w:p w:rsidR="00B77541" w:rsidRDefault="00B77541" w:rsidP="003759FD">
      <w:pPr>
        <w:spacing w:after="0"/>
        <w:ind w:left="720" w:hanging="720"/>
        <w:jc w:val="both"/>
        <w:rPr>
          <w:rFonts w:ascii="Verdana" w:hAnsi="Verdana"/>
          <w:sz w:val="24"/>
          <w:szCs w:val="24"/>
        </w:rPr>
      </w:pPr>
    </w:p>
    <w:p w:rsidR="00B77541" w:rsidRDefault="00B77541" w:rsidP="00326671">
      <w:pPr>
        <w:spacing w:after="0"/>
        <w:ind w:left="720" w:hanging="720"/>
        <w:jc w:val="both"/>
        <w:rPr>
          <w:rFonts w:ascii="Verdana" w:hAnsi="Verdana"/>
          <w:sz w:val="24"/>
          <w:szCs w:val="24"/>
        </w:rPr>
      </w:pPr>
      <w:r>
        <w:rPr>
          <w:rFonts w:ascii="Verdana" w:hAnsi="Verdana"/>
          <w:sz w:val="24"/>
          <w:szCs w:val="24"/>
        </w:rPr>
        <w:lastRenderedPageBreak/>
        <w:t>4.2</w:t>
      </w:r>
      <w:r>
        <w:rPr>
          <w:rFonts w:ascii="Verdana" w:hAnsi="Verdana"/>
          <w:sz w:val="24"/>
          <w:szCs w:val="24"/>
        </w:rPr>
        <w:tab/>
      </w:r>
      <w:r w:rsidR="005A433A" w:rsidRPr="005A433A">
        <w:rPr>
          <w:rFonts w:ascii="Verdana" w:hAnsi="Verdana"/>
          <w:sz w:val="24"/>
          <w:szCs w:val="24"/>
        </w:rPr>
        <w:t>Research by Oxford University claimed migrant workers add</w:t>
      </w:r>
      <w:r w:rsidR="005A433A">
        <w:rPr>
          <w:rFonts w:ascii="Verdana" w:hAnsi="Verdana"/>
          <w:sz w:val="24"/>
          <w:szCs w:val="24"/>
        </w:rPr>
        <w:t xml:space="preserve"> </w:t>
      </w:r>
      <w:r w:rsidR="005A433A" w:rsidRPr="005A433A">
        <w:rPr>
          <w:rFonts w:ascii="Verdana" w:hAnsi="Verdana"/>
          <w:sz w:val="24"/>
          <w:szCs w:val="24"/>
        </w:rPr>
        <w:t>great value to the sector, significantly in social care.</w:t>
      </w:r>
      <w:r w:rsidR="005A433A">
        <w:rPr>
          <w:rStyle w:val="FootnoteReference"/>
          <w:rFonts w:ascii="Verdana" w:hAnsi="Verdana"/>
          <w:sz w:val="24"/>
          <w:szCs w:val="24"/>
        </w:rPr>
        <w:footnoteReference w:id="13"/>
      </w:r>
      <w:r w:rsidR="005A433A" w:rsidRPr="005A433A">
        <w:rPr>
          <w:rFonts w:ascii="Verdana" w:hAnsi="Verdana"/>
          <w:sz w:val="24"/>
          <w:szCs w:val="24"/>
        </w:rPr>
        <w:t xml:space="preserve"> </w:t>
      </w:r>
      <w:r w:rsidR="005A433A">
        <w:rPr>
          <w:rFonts w:ascii="Verdana" w:hAnsi="Verdana"/>
          <w:sz w:val="24"/>
          <w:szCs w:val="24"/>
        </w:rPr>
        <w:t xml:space="preserve"> </w:t>
      </w:r>
      <w:r w:rsidR="005A433A" w:rsidRPr="005A433A">
        <w:rPr>
          <w:rFonts w:ascii="Verdana" w:hAnsi="Verdana"/>
          <w:sz w:val="24"/>
          <w:szCs w:val="24"/>
        </w:rPr>
        <w:t>The</w:t>
      </w:r>
      <w:r w:rsidR="005A433A">
        <w:rPr>
          <w:rFonts w:ascii="Verdana" w:hAnsi="Verdana"/>
          <w:sz w:val="24"/>
          <w:szCs w:val="24"/>
        </w:rPr>
        <w:t xml:space="preserve"> </w:t>
      </w:r>
      <w:r w:rsidR="005A433A" w:rsidRPr="005A433A">
        <w:rPr>
          <w:rFonts w:ascii="Verdana" w:hAnsi="Verdana"/>
          <w:sz w:val="24"/>
          <w:szCs w:val="24"/>
        </w:rPr>
        <w:t>research suggested that there is greater flexibility amongst</w:t>
      </w:r>
      <w:r w:rsidR="005A433A">
        <w:rPr>
          <w:rFonts w:ascii="Verdana" w:hAnsi="Verdana"/>
          <w:sz w:val="24"/>
          <w:szCs w:val="24"/>
        </w:rPr>
        <w:t xml:space="preserve"> </w:t>
      </w:r>
      <w:r w:rsidR="005A433A" w:rsidRPr="005A433A">
        <w:rPr>
          <w:rFonts w:ascii="Verdana" w:hAnsi="Verdana"/>
          <w:sz w:val="24"/>
          <w:szCs w:val="24"/>
        </w:rPr>
        <w:t>non-UK workers, particularly to work the unsocial hours required</w:t>
      </w:r>
      <w:r w:rsidR="005A433A">
        <w:rPr>
          <w:rFonts w:ascii="Verdana" w:hAnsi="Verdana"/>
          <w:sz w:val="24"/>
          <w:szCs w:val="24"/>
        </w:rPr>
        <w:t xml:space="preserve"> </w:t>
      </w:r>
      <w:r w:rsidR="005A433A" w:rsidRPr="005A433A">
        <w:rPr>
          <w:rFonts w:ascii="Verdana" w:hAnsi="Verdana"/>
          <w:sz w:val="24"/>
          <w:szCs w:val="24"/>
        </w:rPr>
        <w:t>to provide 24-7 cover.</w:t>
      </w:r>
      <w:r w:rsidR="00326671">
        <w:rPr>
          <w:rFonts w:ascii="Verdana" w:hAnsi="Verdana"/>
          <w:sz w:val="24"/>
          <w:szCs w:val="24"/>
        </w:rPr>
        <w:t xml:space="preserve"> </w:t>
      </w:r>
      <w:r w:rsidR="00326671" w:rsidRPr="00326671">
        <w:rPr>
          <w:rFonts w:ascii="Verdana" w:hAnsi="Verdana"/>
          <w:sz w:val="24"/>
          <w:szCs w:val="24"/>
        </w:rPr>
        <w:t>Changes to legislation have significantly closed off</w:t>
      </w:r>
      <w:r w:rsidR="00326671">
        <w:rPr>
          <w:rFonts w:ascii="Verdana" w:hAnsi="Verdana"/>
          <w:sz w:val="24"/>
          <w:szCs w:val="24"/>
        </w:rPr>
        <w:t xml:space="preserve"> </w:t>
      </w:r>
      <w:r w:rsidR="00326671" w:rsidRPr="00326671">
        <w:rPr>
          <w:rFonts w:ascii="Verdana" w:hAnsi="Verdana"/>
          <w:sz w:val="24"/>
          <w:szCs w:val="24"/>
        </w:rPr>
        <w:t>opportunities for non-EU care workers, increasing the UK’s</w:t>
      </w:r>
      <w:r w:rsidR="00326671">
        <w:rPr>
          <w:rFonts w:ascii="Verdana" w:hAnsi="Verdana"/>
          <w:sz w:val="24"/>
          <w:szCs w:val="24"/>
        </w:rPr>
        <w:t xml:space="preserve"> </w:t>
      </w:r>
      <w:r w:rsidR="00326671" w:rsidRPr="00326671">
        <w:rPr>
          <w:rFonts w:ascii="Verdana" w:hAnsi="Verdana"/>
          <w:sz w:val="24"/>
          <w:szCs w:val="24"/>
        </w:rPr>
        <w:t xml:space="preserve">reliance on support staff from within the EU. </w:t>
      </w:r>
      <w:r w:rsidR="00326671">
        <w:rPr>
          <w:rFonts w:ascii="Verdana" w:hAnsi="Verdana"/>
          <w:sz w:val="24"/>
          <w:szCs w:val="24"/>
        </w:rPr>
        <w:t xml:space="preserve"> </w:t>
      </w:r>
      <w:r w:rsidR="00326671" w:rsidRPr="00326671">
        <w:rPr>
          <w:rFonts w:ascii="Verdana" w:hAnsi="Verdana"/>
          <w:sz w:val="24"/>
          <w:szCs w:val="24"/>
        </w:rPr>
        <w:t>Other EU</w:t>
      </w:r>
      <w:r w:rsidR="00326671">
        <w:rPr>
          <w:rFonts w:ascii="Verdana" w:hAnsi="Verdana"/>
          <w:sz w:val="24"/>
          <w:szCs w:val="24"/>
        </w:rPr>
        <w:t xml:space="preserve"> </w:t>
      </w:r>
      <w:r w:rsidR="00326671" w:rsidRPr="00326671">
        <w:rPr>
          <w:rFonts w:ascii="Verdana" w:hAnsi="Verdana"/>
          <w:sz w:val="24"/>
          <w:szCs w:val="24"/>
        </w:rPr>
        <w:t>legislation, such as the Working Time Directive (WTD) and the</w:t>
      </w:r>
      <w:r w:rsidR="00326671">
        <w:rPr>
          <w:rFonts w:ascii="Verdana" w:hAnsi="Verdana"/>
          <w:sz w:val="24"/>
          <w:szCs w:val="24"/>
        </w:rPr>
        <w:t xml:space="preserve"> </w:t>
      </w:r>
      <w:r w:rsidR="00326671" w:rsidRPr="00326671">
        <w:rPr>
          <w:rFonts w:ascii="Verdana" w:hAnsi="Verdana"/>
          <w:sz w:val="24"/>
          <w:szCs w:val="24"/>
        </w:rPr>
        <w:t>Agency Workers Directive (AWD), has a great impact on the</w:t>
      </w:r>
      <w:r w:rsidR="00326671">
        <w:rPr>
          <w:rFonts w:ascii="Verdana" w:hAnsi="Verdana"/>
          <w:sz w:val="24"/>
          <w:szCs w:val="24"/>
        </w:rPr>
        <w:t xml:space="preserve"> </w:t>
      </w:r>
      <w:r w:rsidR="00326671" w:rsidRPr="00326671">
        <w:rPr>
          <w:rFonts w:ascii="Verdana" w:hAnsi="Verdana"/>
          <w:sz w:val="24"/>
          <w:szCs w:val="24"/>
        </w:rPr>
        <w:t>health sector’s workforce.</w:t>
      </w:r>
    </w:p>
    <w:p w:rsidR="00D35383" w:rsidRDefault="00D35383" w:rsidP="003759FD">
      <w:pPr>
        <w:spacing w:after="0"/>
        <w:ind w:left="720" w:hanging="720"/>
        <w:jc w:val="both"/>
        <w:rPr>
          <w:rFonts w:ascii="Verdana" w:hAnsi="Verdana"/>
          <w:sz w:val="24"/>
          <w:szCs w:val="24"/>
        </w:rPr>
      </w:pPr>
    </w:p>
    <w:p w:rsidR="00A61B0F" w:rsidRDefault="00720C66" w:rsidP="00720C66">
      <w:pPr>
        <w:spacing w:after="0"/>
        <w:ind w:left="720" w:hanging="720"/>
        <w:jc w:val="both"/>
        <w:rPr>
          <w:rFonts w:ascii="Verdana" w:hAnsi="Verdana"/>
          <w:sz w:val="24"/>
          <w:szCs w:val="24"/>
        </w:rPr>
      </w:pPr>
      <w:r>
        <w:rPr>
          <w:rFonts w:ascii="Verdana" w:hAnsi="Verdana"/>
          <w:sz w:val="24"/>
          <w:szCs w:val="24"/>
        </w:rPr>
        <w:t>4.3</w:t>
      </w:r>
      <w:r>
        <w:rPr>
          <w:rFonts w:ascii="Verdana" w:hAnsi="Verdana"/>
          <w:sz w:val="24"/>
          <w:szCs w:val="24"/>
        </w:rPr>
        <w:tab/>
      </w:r>
      <w:r w:rsidRPr="00720C66">
        <w:rPr>
          <w:rFonts w:ascii="Verdana" w:hAnsi="Verdana"/>
          <w:sz w:val="24"/>
          <w:szCs w:val="24"/>
        </w:rPr>
        <w:t>If the UK were to leave the EU then there would be an</w:t>
      </w:r>
      <w:r>
        <w:rPr>
          <w:rFonts w:ascii="Verdana" w:hAnsi="Verdana"/>
          <w:sz w:val="24"/>
          <w:szCs w:val="24"/>
        </w:rPr>
        <w:t xml:space="preserve"> </w:t>
      </w:r>
      <w:r w:rsidRPr="00720C66">
        <w:rPr>
          <w:rFonts w:ascii="Verdana" w:hAnsi="Verdana"/>
          <w:sz w:val="24"/>
          <w:szCs w:val="24"/>
        </w:rPr>
        <w:t>opportunity to remove policies that influence workers’ rights,</w:t>
      </w:r>
      <w:r>
        <w:rPr>
          <w:rFonts w:ascii="Verdana" w:hAnsi="Verdana"/>
          <w:sz w:val="24"/>
          <w:szCs w:val="24"/>
        </w:rPr>
        <w:t xml:space="preserve"> </w:t>
      </w:r>
      <w:r w:rsidRPr="00720C66">
        <w:rPr>
          <w:rFonts w:ascii="Verdana" w:hAnsi="Verdana"/>
          <w:sz w:val="24"/>
          <w:szCs w:val="24"/>
        </w:rPr>
        <w:t xml:space="preserve">such as the WTD, from UK contracts. </w:t>
      </w:r>
      <w:r w:rsidR="00A1379B">
        <w:rPr>
          <w:rFonts w:ascii="Verdana" w:hAnsi="Verdana"/>
          <w:sz w:val="24"/>
          <w:szCs w:val="24"/>
        </w:rPr>
        <w:t xml:space="preserve"> </w:t>
      </w:r>
      <w:r w:rsidRPr="00720C66">
        <w:rPr>
          <w:rFonts w:ascii="Verdana" w:hAnsi="Verdana"/>
          <w:sz w:val="24"/>
          <w:szCs w:val="24"/>
        </w:rPr>
        <w:t>However, Jeremy Corbyn,</w:t>
      </w:r>
      <w:r>
        <w:rPr>
          <w:rFonts w:ascii="Verdana" w:hAnsi="Verdana"/>
          <w:sz w:val="24"/>
          <w:szCs w:val="24"/>
        </w:rPr>
        <w:t xml:space="preserve"> </w:t>
      </w:r>
      <w:r w:rsidRPr="00720C66">
        <w:rPr>
          <w:rFonts w:ascii="Verdana" w:hAnsi="Verdana"/>
          <w:sz w:val="24"/>
          <w:szCs w:val="24"/>
        </w:rPr>
        <w:t>leader of the Labour party, in 2016 claimed this means that</w:t>
      </w:r>
      <w:r>
        <w:rPr>
          <w:rFonts w:ascii="Verdana" w:hAnsi="Verdana"/>
          <w:sz w:val="24"/>
          <w:szCs w:val="24"/>
        </w:rPr>
        <w:t xml:space="preserve"> </w:t>
      </w:r>
      <w:r w:rsidRPr="00720C66">
        <w:rPr>
          <w:rFonts w:ascii="Verdana" w:hAnsi="Verdana"/>
          <w:sz w:val="24"/>
          <w:szCs w:val="24"/>
        </w:rPr>
        <w:t>other policies, such as equal pay, annual leave and maternity</w:t>
      </w:r>
      <w:r>
        <w:rPr>
          <w:rFonts w:ascii="Verdana" w:hAnsi="Verdana"/>
          <w:sz w:val="24"/>
          <w:szCs w:val="24"/>
        </w:rPr>
        <w:t xml:space="preserve"> </w:t>
      </w:r>
      <w:r w:rsidRPr="00720C66">
        <w:rPr>
          <w:rFonts w:ascii="Verdana" w:hAnsi="Verdana"/>
          <w:sz w:val="24"/>
          <w:szCs w:val="24"/>
        </w:rPr>
        <w:t>pay rights could also be put at risk</w:t>
      </w:r>
      <w:r>
        <w:rPr>
          <w:rFonts w:ascii="Verdana" w:hAnsi="Verdana"/>
          <w:sz w:val="24"/>
          <w:szCs w:val="24"/>
        </w:rPr>
        <w:t>.</w:t>
      </w:r>
      <w:r>
        <w:rPr>
          <w:rStyle w:val="FootnoteReference"/>
          <w:rFonts w:ascii="Verdana" w:hAnsi="Verdana"/>
          <w:sz w:val="24"/>
          <w:szCs w:val="24"/>
        </w:rPr>
        <w:footnoteReference w:id="14"/>
      </w:r>
      <w:r>
        <w:rPr>
          <w:rFonts w:ascii="Verdana" w:hAnsi="Verdana"/>
          <w:sz w:val="24"/>
          <w:szCs w:val="24"/>
        </w:rPr>
        <w:t xml:space="preserve">  The Scottish Government should consider the impact of withdrawal from the EU on staffing in the public sector, in particular the Health and Social Care services.</w:t>
      </w:r>
    </w:p>
    <w:p w:rsidR="00A61B0F" w:rsidRDefault="00A61B0F" w:rsidP="003759FD">
      <w:pPr>
        <w:spacing w:after="0"/>
        <w:ind w:left="720" w:hanging="720"/>
        <w:jc w:val="both"/>
        <w:rPr>
          <w:rFonts w:ascii="Verdana" w:hAnsi="Verdana"/>
          <w:sz w:val="24"/>
          <w:szCs w:val="24"/>
        </w:rPr>
      </w:pPr>
    </w:p>
    <w:p w:rsidR="00A61B0F" w:rsidRPr="00EA4273" w:rsidRDefault="003D537E" w:rsidP="003D537E">
      <w:pPr>
        <w:spacing w:after="0"/>
        <w:ind w:left="720"/>
        <w:jc w:val="both"/>
        <w:rPr>
          <w:rFonts w:ascii="Verdana" w:hAnsi="Verdana"/>
          <w:b/>
          <w:sz w:val="24"/>
          <w:szCs w:val="24"/>
        </w:rPr>
      </w:pPr>
      <w:r w:rsidRPr="00EA4273">
        <w:rPr>
          <w:rFonts w:ascii="Verdana" w:hAnsi="Verdana"/>
          <w:b/>
          <w:sz w:val="24"/>
          <w:szCs w:val="24"/>
        </w:rPr>
        <w:t>Local Government</w:t>
      </w:r>
      <w:r w:rsidR="00EA4273" w:rsidRPr="00EA4273">
        <w:rPr>
          <w:rFonts w:ascii="Verdana" w:hAnsi="Verdana"/>
          <w:b/>
          <w:sz w:val="24"/>
          <w:szCs w:val="24"/>
        </w:rPr>
        <w:t>:</w:t>
      </w:r>
    </w:p>
    <w:p w:rsidR="003D537E" w:rsidRDefault="003D537E" w:rsidP="003759FD">
      <w:pPr>
        <w:spacing w:after="0"/>
        <w:ind w:left="720" w:hanging="720"/>
        <w:jc w:val="both"/>
        <w:rPr>
          <w:rFonts w:ascii="Verdana" w:hAnsi="Verdana"/>
          <w:sz w:val="24"/>
          <w:szCs w:val="24"/>
        </w:rPr>
      </w:pPr>
    </w:p>
    <w:p w:rsidR="0003071E" w:rsidRPr="0003071E" w:rsidRDefault="003D537E" w:rsidP="0003071E">
      <w:pPr>
        <w:spacing w:after="0"/>
        <w:ind w:left="720" w:hanging="720"/>
        <w:jc w:val="both"/>
        <w:rPr>
          <w:rFonts w:ascii="Verdana" w:hAnsi="Verdana"/>
          <w:sz w:val="24"/>
          <w:szCs w:val="24"/>
        </w:rPr>
      </w:pPr>
      <w:r>
        <w:rPr>
          <w:rFonts w:ascii="Verdana" w:hAnsi="Verdana"/>
          <w:sz w:val="24"/>
          <w:szCs w:val="24"/>
        </w:rPr>
        <w:t>4.4</w:t>
      </w:r>
      <w:r>
        <w:rPr>
          <w:rFonts w:ascii="Verdana" w:hAnsi="Verdana"/>
          <w:sz w:val="24"/>
          <w:szCs w:val="24"/>
        </w:rPr>
        <w:tab/>
      </w:r>
      <w:r w:rsidR="0003071E" w:rsidRPr="0003071E">
        <w:rPr>
          <w:rFonts w:ascii="Verdana" w:hAnsi="Verdana"/>
          <w:sz w:val="24"/>
          <w:szCs w:val="24"/>
        </w:rPr>
        <w:t>According to figures released by the Department of Local</w:t>
      </w:r>
      <w:r w:rsidR="0003071E">
        <w:rPr>
          <w:rFonts w:ascii="Verdana" w:hAnsi="Verdana"/>
          <w:sz w:val="24"/>
          <w:szCs w:val="24"/>
        </w:rPr>
        <w:t xml:space="preserve"> </w:t>
      </w:r>
      <w:r w:rsidR="0003071E" w:rsidRPr="0003071E">
        <w:rPr>
          <w:rFonts w:ascii="Verdana" w:hAnsi="Verdana"/>
          <w:sz w:val="24"/>
          <w:szCs w:val="24"/>
        </w:rPr>
        <w:t>Government and Communities in 2014, local government</w:t>
      </w:r>
      <w:r w:rsidR="0003071E">
        <w:rPr>
          <w:rFonts w:ascii="Verdana" w:hAnsi="Verdana"/>
          <w:sz w:val="24"/>
          <w:szCs w:val="24"/>
        </w:rPr>
        <w:t xml:space="preserve"> </w:t>
      </w:r>
      <w:r w:rsidR="0003071E" w:rsidRPr="0003071E">
        <w:rPr>
          <w:rFonts w:ascii="Verdana" w:hAnsi="Verdana"/>
          <w:sz w:val="24"/>
          <w:szCs w:val="24"/>
        </w:rPr>
        <w:t>spends around ‘£45bn – over a quarter of its annual expenditure</w:t>
      </w:r>
      <w:r w:rsidR="0003071E">
        <w:rPr>
          <w:rFonts w:ascii="Verdana" w:hAnsi="Verdana"/>
          <w:sz w:val="24"/>
          <w:szCs w:val="24"/>
        </w:rPr>
        <w:t xml:space="preserve"> o</w:t>
      </w:r>
      <w:r w:rsidR="0003071E" w:rsidRPr="0003071E">
        <w:rPr>
          <w:rFonts w:ascii="Verdana" w:hAnsi="Verdana"/>
          <w:sz w:val="24"/>
          <w:szCs w:val="24"/>
        </w:rPr>
        <w:t>n procuring goods and</w:t>
      </w:r>
      <w:r w:rsidR="0003071E">
        <w:rPr>
          <w:rFonts w:ascii="Verdana" w:hAnsi="Verdana"/>
          <w:sz w:val="24"/>
          <w:szCs w:val="24"/>
        </w:rPr>
        <w:t xml:space="preserve"> services from third parties’.</w:t>
      </w:r>
      <w:r w:rsidR="00B76A6F">
        <w:rPr>
          <w:rStyle w:val="FootnoteReference"/>
          <w:rFonts w:ascii="Verdana" w:hAnsi="Verdana"/>
          <w:sz w:val="24"/>
          <w:szCs w:val="24"/>
        </w:rPr>
        <w:footnoteReference w:id="15"/>
      </w:r>
      <w:r w:rsidR="0003071E">
        <w:rPr>
          <w:rFonts w:ascii="Verdana" w:hAnsi="Verdana"/>
          <w:sz w:val="24"/>
          <w:szCs w:val="24"/>
        </w:rPr>
        <w:t xml:space="preserve">  Th</w:t>
      </w:r>
      <w:r w:rsidR="0003071E" w:rsidRPr="0003071E">
        <w:rPr>
          <w:rFonts w:ascii="Verdana" w:hAnsi="Verdana"/>
          <w:sz w:val="24"/>
          <w:szCs w:val="24"/>
        </w:rPr>
        <w:t>is significant level of spending is subject to EU procurement</w:t>
      </w:r>
      <w:r w:rsidR="0003071E">
        <w:rPr>
          <w:rFonts w:ascii="Verdana" w:hAnsi="Verdana"/>
          <w:sz w:val="24"/>
          <w:szCs w:val="24"/>
        </w:rPr>
        <w:t xml:space="preserve"> </w:t>
      </w:r>
      <w:r w:rsidR="0003071E" w:rsidRPr="0003071E">
        <w:rPr>
          <w:rFonts w:ascii="Verdana" w:hAnsi="Verdana"/>
          <w:sz w:val="24"/>
          <w:szCs w:val="24"/>
        </w:rPr>
        <w:t>rules, which were made to ensure transparency and free access</w:t>
      </w:r>
      <w:r w:rsidR="0003071E">
        <w:rPr>
          <w:rFonts w:ascii="Verdana" w:hAnsi="Verdana"/>
          <w:sz w:val="24"/>
          <w:szCs w:val="24"/>
        </w:rPr>
        <w:t xml:space="preserve"> </w:t>
      </w:r>
      <w:r w:rsidR="0003071E" w:rsidRPr="0003071E">
        <w:rPr>
          <w:rFonts w:ascii="Verdana" w:hAnsi="Verdana"/>
          <w:sz w:val="24"/>
          <w:szCs w:val="24"/>
        </w:rPr>
        <w:t>on competition across member states.</w:t>
      </w:r>
    </w:p>
    <w:p w:rsidR="0003071E" w:rsidRDefault="0003071E" w:rsidP="0003071E">
      <w:pPr>
        <w:spacing w:after="0"/>
        <w:ind w:left="720" w:hanging="720"/>
        <w:jc w:val="both"/>
        <w:rPr>
          <w:rFonts w:ascii="Verdana" w:hAnsi="Verdana"/>
          <w:sz w:val="24"/>
          <w:szCs w:val="24"/>
        </w:rPr>
      </w:pPr>
    </w:p>
    <w:p w:rsidR="00A61B0F" w:rsidRDefault="0003071E" w:rsidP="0003071E">
      <w:pPr>
        <w:spacing w:after="0"/>
        <w:ind w:left="720" w:hanging="720"/>
        <w:jc w:val="both"/>
        <w:rPr>
          <w:rFonts w:ascii="Verdana" w:hAnsi="Verdana"/>
          <w:sz w:val="24"/>
          <w:szCs w:val="24"/>
        </w:rPr>
      </w:pPr>
      <w:r>
        <w:rPr>
          <w:rFonts w:ascii="Verdana" w:hAnsi="Verdana"/>
          <w:sz w:val="24"/>
          <w:szCs w:val="24"/>
        </w:rPr>
        <w:t>4.5</w:t>
      </w:r>
      <w:r>
        <w:rPr>
          <w:rFonts w:ascii="Verdana" w:hAnsi="Verdana"/>
          <w:sz w:val="24"/>
          <w:szCs w:val="24"/>
        </w:rPr>
        <w:tab/>
      </w:r>
      <w:r w:rsidRPr="0003071E">
        <w:rPr>
          <w:rFonts w:ascii="Verdana" w:hAnsi="Verdana"/>
          <w:sz w:val="24"/>
          <w:szCs w:val="24"/>
        </w:rPr>
        <w:t>The UK parliament does not have total sovereignty to amend or</w:t>
      </w:r>
      <w:r>
        <w:rPr>
          <w:rFonts w:ascii="Verdana" w:hAnsi="Verdana"/>
          <w:sz w:val="24"/>
          <w:szCs w:val="24"/>
        </w:rPr>
        <w:t xml:space="preserve"> </w:t>
      </w:r>
      <w:r w:rsidRPr="0003071E">
        <w:rPr>
          <w:rFonts w:ascii="Verdana" w:hAnsi="Verdana"/>
          <w:sz w:val="24"/>
          <w:szCs w:val="24"/>
        </w:rPr>
        <w:t>totally repeal procurement regulations for local authorities.</w:t>
      </w:r>
      <w:r>
        <w:rPr>
          <w:rFonts w:ascii="Verdana" w:hAnsi="Verdana"/>
          <w:sz w:val="24"/>
          <w:szCs w:val="24"/>
        </w:rPr>
        <w:t xml:space="preserve">  </w:t>
      </w:r>
      <w:r w:rsidRPr="0003071E">
        <w:rPr>
          <w:rFonts w:ascii="Verdana" w:hAnsi="Verdana"/>
          <w:sz w:val="24"/>
          <w:szCs w:val="24"/>
        </w:rPr>
        <w:t>The regulations mean that UK suppliers do not get priority for</w:t>
      </w:r>
      <w:r>
        <w:rPr>
          <w:rFonts w:ascii="Verdana" w:hAnsi="Verdana"/>
          <w:sz w:val="24"/>
          <w:szCs w:val="24"/>
        </w:rPr>
        <w:t xml:space="preserve"> </w:t>
      </w:r>
      <w:r w:rsidRPr="0003071E">
        <w:rPr>
          <w:rFonts w:ascii="Verdana" w:hAnsi="Verdana"/>
          <w:sz w:val="24"/>
          <w:szCs w:val="24"/>
        </w:rPr>
        <w:t xml:space="preserve">tender opportunities in the UK. </w:t>
      </w:r>
      <w:r>
        <w:rPr>
          <w:rFonts w:ascii="Verdana" w:hAnsi="Verdana"/>
          <w:sz w:val="24"/>
          <w:szCs w:val="24"/>
        </w:rPr>
        <w:t xml:space="preserve"> </w:t>
      </w:r>
      <w:r w:rsidRPr="0003071E">
        <w:rPr>
          <w:rFonts w:ascii="Verdana" w:hAnsi="Verdana"/>
          <w:sz w:val="24"/>
          <w:szCs w:val="24"/>
        </w:rPr>
        <w:t>By the same token, they are</w:t>
      </w:r>
      <w:r>
        <w:rPr>
          <w:rFonts w:ascii="Verdana" w:hAnsi="Verdana"/>
          <w:sz w:val="24"/>
          <w:szCs w:val="24"/>
        </w:rPr>
        <w:t xml:space="preserve"> </w:t>
      </w:r>
      <w:r w:rsidRPr="0003071E">
        <w:rPr>
          <w:rFonts w:ascii="Verdana" w:hAnsi="Verdana"/>
          <w:sz w:val="24"/>
          <w:szCs w:val="24"/>
        </w:rPr>
        <w:t>on equal-footing with other EU companies when tendering</w:t>
      </w:r>
      <w:r>
        <w:rPr>
          <w:rFonts w:ascii="Verdana" w:hAnsi="Verdana"/>
          <w:sz w:val="24"/>
          <w:szCs w:val="24"/>
        </w:rPr>
        <w:t xml:space="preserve"> </w:t>
      </w:r>
      <w:r w:rsidRPr="0003071E">
        <w:rPr>
          <w:rFonts w:ascii="Verdana" w:hAnsi="Verdana"/>
          <w:sz w:val="24"/>
          <w:szCs w:val="24"/>
        </w:rPr>
        <w:t>to provide goods and services to local public bodies in other</w:t>
      </w:r>
      <w:r>
        <w:rPr>
          <w:rFonts w:ascii="Verdana" w:hAnsi="Verdana"/>
          <w:sz w:val="24"/>
          <w:szCs w:val="24"/>
        </w:rPr>
        <w:t xml:space="preserve"> </w:t>
      </w:r>
      <w:r w:rsidRPr="0003071E">
        <w:rPr>
          <w:rFonts w:ascii="Verdana" w:hAnsi="Verdana"/>
          <w:sz w:val="24"/>
          <w:szCs w:val="24"/>
        </w:rPr>
        <w:t xml:space="preserve">member states. </w:t>
      </w:r>
      <w:r>
        <w:rPr>
          <w:rFonts w:ascii="Verdana" w:hAnsi="Verdana"/>
          <w:sz w:val="24"/>
          <w:szCs w:val="24"/>
        </w:rPr>
        <w:t xml:space="preserve"> </w:t>
      </w:r>
      <w:r w:rsidRPr="0003071E">
        <w:rPr>
          <w:rFonts w:ascii="Verdana" w:hAnsi="Verdana"/>
          <w:sz w:val="24"/>
          <w:szCs w:val="24"/>
        </w:rPr>
        <w:t>Before these rules were in place, local authorities were</w:t>
      </w:r>
      <w:r>
        <w:rPr>
          <w:rFonts w:ascii="Verdana" w:hAnsi="Verdana"/>
          <w:sz w:val="24"/>
          <w:szCs w:val="24"/>
        </w:rPr>
        <w:t xml:space="preserve"> </w:t>
      </w:r>
      <w:r w:rsidRPr="0003071E">
        <w:rPr>
          <w:rFonts w:ascii="Verdana" w:hAnsi="Verdana"/>
          <w:sz w:val="24"/>
          <w:szCs w:val="24"/>
        </w:rPr>
        <w:t xml:space="preserve">able to follow their </w:t>
      </w:r>
      <w:r w:rsidRPr="0003071E">
        <w:rPr>
          <w:rFonts w:ascii="Verdana" w:hAnsi="Verdana"/>
          <w:sz w:val="24"/>
          <w:szCs w:val="24"/>
        </w:rPr>
        <w:lastRenderedPageBreak/>
        <w:t>own internal procedure rules and</w:t>
      </w:r>
      <w:r>
        <w:rPr>
          <w:rFonts w:ascii="Verdana" w:hAnsi="Verdana"/>
          <w:sz w:val="24"/>
          <w:szCs w:val="24"/>
        </w:rPr>
        <w:t xml:space="preserve"> </w:t>
      </w:r>
      <w:r w:rsidRPr="0003071E">
        <w:rPr>
          <w:rFonts w:ascii="Verdana" w:hAnsi="Verdana"/>
          <w:sz w:val="24"/>
          <w:szCs w:val="24"/>
        </w:rPr>
        <w:t xml:space="preserve">financial regulations. </w:t>
      </w:r>
      <w:r>
        <w:rPr>
          <w:rFonts w:ascii="Verdana" w:hAnsi="Verdana"/>
          <w:sz w:val="24"/>
          <w:szCs w:val="24"/>
        </w:rPr>
        <w:t xml:space="preserve"> </w:t>
      </w:r>
      <w:r w:rsidRPr="0003071E">
        <w:rPr>
          <w:rFonts w:ascii="Verdana" w:hAnsi="Verdana"/>
          <w:sz w:val="24"/>
          <w:szCs w:val="24"/>
        </w:rPr>
        <w:t>If the UK were to leave the EU, there</w:t>
      </w:r>
      <w:r>
        <w:rPr>
          <w:rFonts w:ascii="Verdana" w:hAnsi="Verdana"/>
          <w:sz w:val="24"/>
          <w:szCs w:val="24"/>
        </w:rPr>
        <w:t xml:space="preserve"> </w:t>
      </w:r>
      <w:r w:rsidRPr="0003071E">
        <w:rPr>
          <w:rFonts w:ascii="Verdana" w:hAnsi="Verdana"/>
          <w:sz w:val="24"/>
          <w:szCs w:val="24"/>
        </w:rPr>
        <w:t>is a possibility that authorities could implement localised</w:t>
      </w:r>
      <w:r>
        <w:rPr>
          <w:rFonts w:ascii="Verdana" w:hAnsi="Verdana"/>
          <w:sz w:val="24"/>
          <w:szCs w:val="24"/>
        </w:rPr>
        <w:t xml:space="preserve"> </w:t>
      </w:r>
      <w:r w:rsidRPr="0003071E">
        <w:rPr>
          <w:rFonts w:ascii="Verdana" w:hAnsi="Verdana"/>
          <w:sz w:val="24"/>
          <w:szCs w:val="24"/>
        </w:rPr>
        <w:t>procurement policies.</w:t>
      </w:r>
    </w:p>
    <w:p w:rsidR="009344AC" w:rsidRDefault="009344AC" w:rsidP="0003071E">
      <w:pPr>
        <w:spacing w:after="0"/>
        <w:ind w:left="720" w:hanging="720"/>
        <w:jc w:val="both"/>
        <w:rPr>
          <w:rFonts w:ascii="Verdana" w:hAnsi="Verdana"/>
          <w:sz w:val="24"/>
          <w:szCs w:val="24"/>
        </w:rPr>
      </w:pPr>
    </w:p>
    <w:p w:rsidR="009344AC" w:rsidRDefault="009344AC" w:rsidP="009344AC">
      <w:pPr>
        <w:spacing w:after="0"/>
        <w:ind w:left="720" w:hanging="720"/>
        <w:jc w:val="both"/>
        <w:rPr>
          <w:rFonts w:ascii="Verdana" w:hAnsi="Verdana"/>
          <w:sz w:val="24"/>
          <w:szCs w:val="24"/>
        </w:rPr>
      </w:pPr>
      <w:r>
        <w:rPr>
          <w:rFonts w:ascii="Verdana" w:hAnsi="Verdana"/>
          <w:sz w:val="24"/>
          <w:szCs w:val="24"/>
        </w:rPr>
        <w:t>4.6</w:t>
      </w:r>
      <w:r>
        <w:rPr>
          <w:rFonts w:ascii="Verdana" w:hAnsi="Verdana"/>
          <w:sz w:val="24"/>
          <w:szCs w:val="24"/>
        </w:rPr>
        <w:tab/>
        <w:t xml:space="preserve">In a local context, state aid rules may also need consideration in the event of EU withdrawal.  EU rules on </w:t>
      </w:r>
      <w:r w:rsidRPr="009344AC">
        <w:rPr>
          <w:rFonts w:ascii="Verdana" w:hAnsi="Verdana"/>
          <w:sz w:val="24"/>
          <w:szCs w:val="24"/>
        </w:rPr>
        <w:t>state aid cover the use of taxpayer funded resources</w:t>
      </w:r>
      <w:r>
        <w:rPr>
          <w:rFonts w:ascii="Verdana" w:hAnsi="Verdana"/>
          <w:sz w:val="24"/>
          <w:szCs w:val="24"/>
        </w:rPr>
        <w:t xml:space="preserve"> </w:t>
      </w:r>
      <w:r w:rsidRPr="009344AC">
        <w:rPr>
          <w:rFonts w:ascii="Verdana" w:hAnsi="Verdana"/>
          <w:sz w:val="24"/>
          <w:szCs w:val="24"/>
        </w:rPr>
        <w:t>to provide assistance to one or more organisations in a way that</w:t>
      </w:r>
      <w:r>
        <w:rPr>
          <w:rFonts w:ascii="Verdana" w:hAnsi="Verdana"/>
          <w:sz w:val="24"/>
          <w:szCs w:val="24"/>
        </w:rPr>
        <w:t xml:space="preserve"> </w:t>
      </w:r>
      <w:r w:rsidRPr="009344AC">
        <w:rPr>
          <w:rFonts w:ascii="Verdana" w:hAnsi="Verdana"/>
          <w:sz w:val="24"/>
          <w:szCs w:val="24"/>
        </w:rPr>
        <w:t>gives an advantage over others that could distort competition.</w:t>
      </w:r>
      <w:r>
        <w:rPr>
          <w:rFonts w:ascii="Verdana" w:hAnsi="Verdana"/>
          <w:sz w:val="24"/>
          <w:szCs w:val="24"/>
        </w:rPr>
        <w:t xml:space="preserve"> </w:t>
      </w:r>
      <w:r w:rsidR="00F22C00">
        <w:rPr>
          <w:rFonts w:ascii="Verdana" w:hAnsi="Verdana"/>
          <w:sz w:val="24"/>
          <w:szCs w:val="24"/>
        </w:rPr>
        <w:t xml:space="preserve"> </w:t>
      </w:r>
      <w:r w:rsidRPr="009344AC">
        <w:rPr>
          <w:rFonts w:ascii="Verdana" w:hAnsi="Verdana"/>
          <w:sz w:val="24"/>
          <w:szCs w:val="24"/>
        </w:rPr>
        <w:t>Local authorities need to consider regulations when awarding</w:t>
      </w:r>
      <w:r>
        <w:rPr>
          <w:rFonts w:ascii="Verdana" w:hAnsi="Verdana"/>
          <w:sz w:val="24"/>
          <w:szCs w:val="24"/>
        </w:rPr>
        <w:t xml:space="preserve"> </w:t>
      </w:r>
      <w:r w:rsidRPr="009344AC">
        <w:rPr>
          <w:rFonts w:ascii="Verdana" w:hAnsi="Verdana"/>
          <w:sz w:val="24"/>
          <w:szCs w:val="24"/>
        </w:rPr>
        <w:t>discretionary relief.</w:t>
      </w:r>
    </w:p>
    <w:p w:rsidR="009344AC" w:rsidRDefault="009344AC" w:rsidP="009344AC">
      <w:pPr>
        <w:spacing w:after="0"/>
        <w:ind w:left="720" w:hanging="720"/>
        <w:jc w:val="both"/>
        <w:rPr>
          <w:rFonts w:ascii="Verdana" w:hAnsi="Verdana"/>
          <w:sz w:val="24"/>
          <w:szCs w:val="24"/>
        </w:rPr>
      </w:pPr>
    </w:p>
    <w:p w:rsidR="009344AC" w:rsidRDefault="009344AC" w:rsidP="009344AC">
      <w:pPr>
        <w:spacing w:after="0"/>
        <w:ind w:left="720" w:hanging="720"/>
        <w:jc w:val="both"/>
        <w:rPr>
          <w:rFonts w:ascii="Verdana" w:hAnsi="Verdana"/>
          <w:sz w:val="24"/>
          <w:szCs w:val="24"/>
        </w:rPr>
      </w:pPr>
      <w:r>
        <w:rPr>
          <w:rFonts w:ascii="Verdana" w:hAnsi="Verdana"/>
          <w:sz w:val="24"/>
          <w:szCs w:val="24"/>
        </w:rPr>
        <w:t>4.7</w:t>
      </w:r>
      <w:r>
        <w:rPr>
          <w:rFonts w:ascii="Verdana" w:hAnsi="Verdana"/>
          <w:sz w:val="24"/>
          <w:szCs w:val="24"/>
        </w:rPr>
        <w:tab/>
      </w:r>
      <w:r w:rsidRPr="009344AC">
        <w:rPr>
          <w:rFonts w:ascii="Verdana" w:hAnsi="Verdana"/>
          <w:sz w:val="24"/>
          <w:szCs w:val="24"/>
        </w:rPr>
        <w:t>The EU has also interwoven environmental objectives into legislation. For instance, EU procurement directives mean local authorities need to ensure their contracts contain environmental criteria.</w:t>
      </w:r>
    </w:p>
    <w:p w:rsidR="009344AC" w:rsidRPr="009344AC" w:rsidRDefault="009344AC" w:rsidP="009344AC">
      <w:pPr>
        <w:spacing w:after="0"/>
        <w:ind w:left="720" w:hanging="720"/>
        <w:jc w:val="both"/>
        <w:rPr>
          <w:rFonts w:ascii="Verdana" w:hAnsi="Verdana"/>
          <w:sz w:val="24"/>
          <w:szCs w:val="24"/>
        </w:rPr>
      </w:pPr>
    </w:p>
    <w:p w:rsidR="009344AC" w:rsidRDefault="009344AC" w:rsidP="009344AC">
      <w:pPr>
        <w:spacing w:after="0"/>
        <w:ind w:left="720" w:hanging="720"/>
        <w:jc w:val="both"/>
        <w:rPr>
          <w:rFonts w:ascii="Verdana" w:hAnsi="Verdana"/>
          <w:sz w:val="24"/>
          <w:szCs w:val="24"/>
        </w:rPr>
      </w:pPr>
      <w:r>
        <w:rPr>
          <w:rFonts w:ascii="Verdana" w:hAnsi="Verdana"/>
          <w:sz w:val="24"/>
          <w:szCs w:val="24"/>
        </w:rPr>
        <w:t>4.8</w:t>
      </w:r>
      <w:r>
        <w:rPr>
          <w:rFonts w:ascii="Verdana" w:hAnsi="Verdana"/>
          <w:sz w:val="24"/>
          <w:szCs w:val="24"/>
        </w:rPr>
        <w:tab/>
      </w:r>
      <w:r w:rsidRPr="009344AC">
        <w:rPr>
          <w:rFonts w:ascii="Verdana" w:hAnsi="Verdana"/>
          <w:sz w:val="24"/>
          <w:szCs w:val="24"/>
        </w:rPr>
        <w:t>In 2016, Mary Creagh, Labour’s shadow environment secretary and Chair of the Environment Select Committee, argued that evidence given to the Committee demonstrates that the EU improves the UK’s local environments.</w:t>
      </w:r>
      <w:r>
        <w:rPr>
          <w:rStyle w:val="FootnoteReference"/>
          <w:rFonts w:ascii="Verdana" w:hAnsi="Verdana"/>
          <w:sz w:val="24"/>
          <w:szCs w:val="24"/>
        </w:rPr>
        <w:footnoteReference w:id="16"/>
      </w:r>
      <w:r w:rsidRPr="009344AC">
        <w:rPr>
          <w:rFonts w:ascii="Verdana" w:hAnsi="Verdana"/>
          <w:sz w:val="24"/>
          <w:szCs w:val="24"/>
        </w:rPr>
        <w:t xml:space="preserve"> </w:t>
      </w:r>
      <w:r>
        <w:rPr>
          <w:rFonts w:ascii="Verdana" w:hAnsi="Verdana"/>
          <w:sz w:val="24"/>
          <w:szCs w:val="24"/>
        </w:rPr>
        <w:t xml:space="preserve"> </w:t>
      </w:r>
      <w:r w:rsidRPr="009344AC">
        <w:rPr>
          <w:rFonts w:ascii="Verdana" w:hAnsi="Verdana"/>
          <w:sz w:val="24"/>
          <w:szCs w:val="24"/>
        </w:rPr>
        <w:t>Citing the EU’s policies on clean beaches, pollution and protected nature zones, she claimed local economies have greatly benefited from this influence.</w:t>
      </w:r>
    </w:p>
    <w:p w:rsidR="009344AC" w:rsidRPr="009344AC" w:rsidRDefault="009344AC" w:rsidP="009344AC">
      <w:pPr>
        <w:spacing w:after="0"/>
        <w:ind w:left="720" w:hanging="720"/>
        <w:jc w:val="both"/>
        <w:rPr>
          <w:rFonts w:ascii="Verdana" w:hAnsi="Verdana"/>
          <w:sz w:val="24"/>
          <w:szCs w:val="24"/>
        </w:rPr>
      </w:pPr>
    </w:p>
    <w:p w:rsidR="009344AC" w:rsidRDefault="009344AC" w:rsidP="009344AC">
      <w:pPr>
        <w:spacing w:after="0"/>
        <w:ind w:left="720" w:hanging="720"/>
        <w:jc w:val="both"/>
        <w:rPr>
          <w:rFonts w:ascii="Verdana" w:hAnsi="Verdana"/>
          <w:sz w:val="24"/>
          <w:szCs w:val="24"/>
        </w:rPr>
      </w:pPr>
      <w:r>
        <w:rPr>
          <w:rFonts w:ascii="Verdana" w:hAnsi="Verdana"/>
          <w:sz w:val="24"/>
          <w:szCs w:val="24"/>
        </w:rPr>
        <w:t>4.9</w:t>
      </w:r>
      <w:r>
        <w:rPr>
          <w:rFonts w:ascii="Verdana" w:hAnsi="Verdana"/>
          <w:sz w:val="24"/>
          <w:szCs w:val="24"/>
        </w:rPr>
        <w:tab/>
      </w:r>
      <w:r w:rsidRPr="009344AC">
        <w:rPr>
          <w:rFonts w:ascii="Verdana" w:hAnsi="Verdana"/>
          <w:sz w:val="24"/>
          <w:szCs w:val="24"/>
        </w:rPr>
        <w:t>In 2014, the Environment agency suggested the UK has gained financially from EU policies. For instance, they estimated that the EU Water Framework Directive</w:t>
      </w:r>
      <w:r>
        <w:rPr>
          <w:rStyle w:val="FootnoteReference"/>
          <w:rFonts w:ascii="Verdana" w:hAnsi="Verdana"/>
          <w:sz w:val="24"/>
          <w:szCs w:val="24"/>
        </w:rPr>
        <w:footnoteReference w:id="17"/>
      </w:r>
      <w:r w:rsidRPr="009344AC">
        <w:rPr>
          <w:rFonts w:ascii="Verdana" w:hAnsi="Verdana"/>
          <w:sz w:val="24"/>
          <w:szCs w:val="24"/>
        </w:rPr>
        <w:t xml:space="preserve"> has given England and Wales a net benefit of £9bn by 2027.</w:t>
      </w:r>
    </w:p>
    <w:p w:rsidR="00B0508D" w:rsidRDefault="00B0508D" w:rsidP="009344AC">
      <w:pPr>
        <w:spacing w:after="0"/>
        <w:ind w:left="720" w:hanging="720"/>
        <w:jc w:val="both"/>
        <w:rPr>
          <w:rFonts w:ascii="Verdana" w:hAnsi="Verdana"/>
          <w:sz w:val="24"/>
          <w:szCs w:val="24"/>
        </w:rPr>
      </w:pPr>
    </w:p>
    <w:p w:rsidR="00B0508D" w:rsidRPr="004339DB" w:rsidRDefault="00B0508D" w:rsidP="00B0508D">
      <w:pPr>
        <w:spacing w:after="0"/>
        <w:ind w:left="720"/>
        <w:jc w:val="both"/>
        <w:rPr>
          <w:rFonts w:ascii="Verdana" w:hAnsi="Verdana"/>
          <w:b/>
          <w:sz w:val="24"/>
          <w:szCs w:val="24"/>
        </w:rPr>
      </w:pPr>
      <w:r w:rsidRPr="004339DB">
        <w:rPr>
          <w:rFonts w:ascii="Verdana" w:hAnsi="Verdana"/>
          <w:b/>
          <w:sz w:val="24"/>
          <w:szCs w:val="24"/>
        </w:rPr>
        <w:t>Social Housing:</w:t>
      </w:r>
    </w:p>
    <w:p w:rsidR="00B0508D" w:rsidRDefault="00B0508D" w:rsidP="009344AC">
      <w:pPr>
        <w:spacing w:after="0"/>
        <w:ind w:left="720" w:hanging="720"/>
        <w:jc w:val="both"/>
        <w:rPr>
          <w:rFonts w:ascii="Verdana" w:hAnsi="Verdana"/>
          <w:sz w:val="24"/>
          <w:szCs w:val="24"/>
        </w:rPr>
      </w:pPr>
    </w:p>
    <w:p w:rsidR="00B0508D" w:rsidRDefault="00B0508D" w:rsidP="009344AC">
      <w:pPr>
        <w:spacing w:after="0"/>
        <w:ind w:left="720" w:hanging="720"/>
        <w:jc w:val="both"/>
        <w:rPr>
          <w:rFonts w:ascii="Verdana" w:hAnsi="Verdana"/>
          <w:sz w:val="24"/>
          <w:szCs w:val="24"/>
        </w:rPr>
      </w:pPr>
      <w:r>
        <w:rPr>
          <w:rFonts w:ascii="Verdana" w:hAnsi="Verdana"/>
          <w:sz w:val="24"/>
          <w:szCs w:val="24"/>
        </w:rPr>
        <w:t>4.10</w:t>
      </w:r>
      <w:r>
        <w:rPr>
          <w:rFonts w:ascii="Verdana" w:hAnsi="Verdana"/>
          <w:sz w:val="24"/>
          <w:szCs w:val="24"/>
        </w:rPr>
        <w:tab/>
      </w:r>
      <w:r w:rsidRPr="00B0508D">
        <w:rPr>
          <w:rFonts w:ascii="Verdana" w:hAnsi="Verdana"/>
          <w:sz w:val="24"/>
          <w:szCs w:val="24"/>
        </w:rPr>
        <w:t>The EU’s free movement policy has regularly been referred to by those campaigning for a ‘Brexit’ as having a significant negative effect on social housing</w:t>
      </w:r>
      <w:r w:rsidR="00431C82">
        <w:rPr>
          <w:rFonts w:ascii="Verdana" w:hAnsi="Verdana"/>
          <w:sz w:val="24"/>
          <w:szCs w:val="24"/>
        </w:rPr>
        <w:t>.  A</w:t>
      </w:r>
      <w:r w:rsidR="00431C82" w:rsidRPr="00431C82">
        <w:rPr>
          <w:rFonts w:ascii="Verdana" w:hAnsi="Verdana"/>
          <w:sz w:val="24"/>
          <w:szCs w:val="24"/>
        </w:rPr>
        <w:t xml:space="preserve"> common </w:t>
      </w:r>
      <w:r w:rsidR="00431C82">
        <w:rPr>
          <w:rFonts w:ascii="Verdana" w:hAnsi="Verdana"/>
          <w:sz w:val="24"/>
          <w:szCs w:val="24"/>
        </w:rPr>
        <w:t>issue raised</w:t>
      </w:r>
      <w:r w:rsidR="00431C82" w:rsidRPr="00431C82">
        <w:rPr>
          <w:rFonts w:ascii="Verdana" w:hAnsi="Verdana"/>
          <w:sz w:val="24"/>
          <w:szCs w:val="24"/>
        </w:rPr>
        <w:t xml:space="preserve"> when debating the housing crisis</w:t>
      </w:r>
      <w:r w:rsidR="00431C82">
        <w:rPr>
          <w:rFonts w:ascii="Verdana" w:hAnsi="Verdana"/>
          <w:sz w:val="24"/>
          <w:szCs w:val="24"/>
        </w:rPr>
        <w:t xml:space="preserve"> is</w:t>
      </w:r>
      <w:r w:rsidR="00431C82" w:rsidRPr="00431C82">
        <w:rPr>
          <w:rFonts w:ascii="Verdana" w:hAnsi="Verdana"/>
          <w:sz w:val="24"/>
          <w:szCs w:val="24"/>
        </w:rPr>
        <w:t xml:space="preserve"> the idea that it is exaggerated by migration resulting from the EU freedom of movement policy, and that without EU migration, Britain would have less need for more housing.</w:t>
      </w:r>
    </w:p>
    <w:p w:rsidR="00431C82" w:rsidRDefault="00431C82" w:rsidP="009344AC">
      <w:pPr>
        <w:spacing w:after="0"/>
        <w:ind w:left="720" w:hanging="720"/>
        <w:jc w:val="both"/>
        <w:rPr>
          <w:rFonts w:ascii="Verdana" w:hAnsi="Verdana"/>
          <w:sz w:val="24"/>
          <w:szCs w:val="24"/>
        </w:rPr>
      </w:pPr>
    </w:p>
    <w:p w:rsidR="00431C82" w:rsidRPr="00431C82" w:rsidRDefault="00431C82" w:rsidP="00431C82">
      <w:pPr>
        <w:spacing w:after="0"/>
        <w:ind w:left="720" w:hanging="720"/>
        <w:jc w:val="both"/>
        <w:rPr>
          <w:rFonts w:ascii="Verdana" w:hAnsi="Verdana"/>
          <w:sz w:val="24"/>
          <w:szCs w:val="24"/>
        </w:rPr>
      </w:pPr>
      <w:r>
        <w:rPr>
          <w:rFonts w:ascii="Verdana" w:hAnsi="Verdana"/>
          <w:sz w:val="24"/>
          <w:szCs w:val="24"/>
        </w:rPr>
        <w:lastRenderedPageBreak/>
        <w:t>4.11</w:t>
      </w:r>
      <w:r>
        <w:rPr>
          <w:rFonts w:ascii="Verdana" w:hAnsi="Verdana"/>
          <w:sz w:val="24"/>
          <w:szCs w:val="24"/>
        </w:rPr>
        <w:tab/>
      </w:r>
      <w:r w:rsidRPr="00431C82">
        <w:rPr>
          <w:rFonts w:ascii="Verdana" w:hAnsi="Verdana"/>
          <w:sz w:val="24"/>
          <w:szCs w:val="24"/>
        </w:rPr>
        <w:t>Research does dispute this claim. A 2011 survey by the</w:t>
      </w:r>
      <w:r w:rsidR="004339DB">
        <w:rPr>
          <w:rFonts w:ascii="Verdana" w:hAnsi="Verdana"/>
          <w:sz w:val="24"/>
          <w:szCs w:val="24"/>
        </w:rPr>
        <w:t xml:space="preserve"> </w:t>
      </w:r>
      <w:r w:rsidRPr="00431C82">
        <w:rPr>
          <w:rFonts w:ascii="Verdana" w:hAnsi="Verdana"/>
          <w:sz w:val="24"/>
          <w:szCs w:val="24"/>
        </w:rPr>
        <w:t>London School of Economics shows that new arrivals,</w:t>
      </w:r>
      <w:r w:rsidR="004339DB">
        <w:rPr>
          <w:rFonts w:ascii="Verdana" w:hAnsi="Verdana"/>
          <w:sz w:val="24"/>
          <w:szCs w:val="24"/>
        </w:rPr>
        <w:t xml:space="preserve"> </w:t>
      </w:r>
      <w:r w:rsidRPr="00431C82">
        <w:rPr>
          <w:rFonts w:ascii="Verdana" w:hAnsi="Verdana"/>
          <w:sz w:val="24"/>
          <w:szCs w:val="24"/>
        </w:rPr>
        <w:t>including those from the EU, tend to live in denser households</w:t>
      </w:r>
      <w:r w:rsidR="004339DB">
        <w:rPr>
          <w:rFonts w:ascii="Verdana" w:hAnsi="Verdana"/>
          <w:sz w:val="24"/>
          <w:szCs w:val="24"/>
        </w:rPr>
        <w:t xml:space="preserve"> </w:t>
      </w:r>
      <w:r w:rsidRPr="00431C82">
        <w:rPr>
          <w:rFonts w:ascii="Verdana" w:hAnsi="Verdana"/>
          <w:sz w:val="24"/>
          <w:szCs w:val="24"/>
        </w:rPr>
        <w:t>and take up less space.</w:t>
      </w:r>
      <w:r w:rsidR="004339DB">
        <w:rPr>
          <w:rStyle w:val="FootnoteReference"/>
          <w:rFonts w:ascii="Verdana" w:hAnsi="Verdana"/>
          <w:sz w:val="24"/>
          <w:szCs w:val="24"/>
        </w:rPr>
        <w:footnoteReference w:id="18"/>
      </w:r>
    </w:p>
    <w:p w:rsidR="004339DB" w:rsidRDefault="004339DB" w:rsidP="00431C82">
      <w:pPr>
        <w:spacing w:after="0"/>
        <w:ind w:left="720" w:hanging="720"/>
        <w:jc w:val="both"/>
        <w:rPr>
          <w:rFonts w:ascii="Verdana" w:hAnsi="Verdana"/>
          <w:sz w:val="24"/>
          <w:szCs w:val="24"/>
        </w:rPr>
      </w:pPr>
    </w:p>
    <w:p w:rsidR="00431C82" w:rsidRDefault="004339DB" w:rsidP="00431C82">
      <w:pPr>
        <w:spacing w:after="0"/>
        <w:ind w:left="720" w:hanging="720"/>
        <w:jc w:val="both"/>
        <w:rPr>
          <w:rFonts w:ascii="Verdana" w:hAnsi="Verdana"/>
          <w:sz w:val="24"/>
          <w:szCs w:val="24"/>
        </w:rPr>
      </w:pPr>
      <w:r>
        <w:rPr>
          <w:rFonts w:ascii="Verdana" w:hAnsi="Verdana"/>
          <w:sz w:val="24"/>
          <w:szCs w:val="24"/>
        </w:rPr>
        <w:t>4.12</w:t>
      </w:r>
      <w:r>
        <w:rPr>
          <w:rFonts w:ascii="Verdana" w:hAnsi="Verdana"/>
          <w:sz w:val="24"/>
          <w:szCs w:val="24"/>
        </w:rPr>
        <w:tab/>
      </w:r>
      <w:r w:rsidR="00431C82" w:rsidRPr="00431C82">
        <w:rPr>
          <w:rFonts w:ascii="Verdana" w:hAnsi="Verdana"/>
          <w:sz w:val="24"/>
          <w:szCs w:val="24"/>
        </w:rPr>
        <w:t>Furthermore, according to the Oxford Migration Observatory,</w:t>
      </w:r>
      <w:r>
        <w:rPr>
          <w:rFonts w:ascii="Verdana" w:hAnsi="Verdana"/>
          <w:sz w:val="24"/>
          <w:szCs w:val="24"/>
        </w:rPr>
        <w:t xml:space="preserve"> </w:t>
      </w:r>
      <w:r w:rsidR="00431C82" w:rsidRPr="00431C82">
        <w:rPr>
          <w:rFonts w:ascii="Verdana" w:hAnsi="Verdana"/>
          <w:sz w:val="24"/>
          <w:szCs w:val="24"/>
        </w:rPr>
        <w:t>migrants are more likely to rent in the private sector, as opposed</w:t>
      </w:r>
      <w:r>
        <w:rPr>
          <w:rFonts w:ascii="Verdana" w:hAnsi="Verdana"/>
          <w:sz w:val="24"/>
          <w:szCs w:val="24"/>
        </w:rPr>
        <w:t xml:space="preserve"> </w:t>
      </w:r>
      <w:r w:rsidR="00431C82" w:rsidRPr="00431C82">
        <w:rPr>
          <w:rFonts w:ascii="Verdana" w:hAnsi="Verdana"/>
          <w:sz w:val="24"/>
          <w:szCs w:val="24"/>
        </w:rPr>
        <w:t>to buying homes or living in social housing.</w:t>
      </w:r>
      <w:r>
        <w:rPr>
          <w:rStyle w:val="FootnoteReference"/>
          <w:rFonts w:ascii="Verdana" w:hAnsi="Verdana"/>
          <w:sz w:val="24"/>
          <w:szCs w:val="24"/>
        </w:rPr>
        <w:footnoteReference w:id="19"/>
      </w:r>
    </w:p>
    <w:p w:rsidR="00A61B0F" w:rsidRDefault="00A61B0F" w:rsidP="003759FD">
      <w:pPr>
        <w:spacing w:after="0"/>
        <w:ind w:left="720" w:hanging="720"/>
        <w:jc w:val="both"/>
        <w:rPr>
          <w:rFonts w:ascii="Verdana" w:hAnsi="Verdana"/>
          <w:sz w:val="24"/>
          <w:szCs w:val="24"/>
        </w:rPr>
      </w:pPr>
    </w:p>
    <w:p w:rsidR="00B0508D" w:rsidRDefault="004339DB" w:rsidP="00431C82">
      <w:pPr>
        <w:spacing w:after="0"/>
        <w:ind w:left="720" w:hanging="720"/>
        <w:jc w:val="both"/>
        <w:rPr>
          <w:rFonts w:ascii="Verdana" w:hAnsi="Verdana"/>
          <w:sz w:val="24"/>
          <w:szCs w:val="24"/>
        </w:rPr>
      </w:pPr>
      <w:r>
        <w:rPr>
          <w:rFonts w:ascii="Verdana" w:hAnsi="Verdana"/>
          <w:sz w:val="24"/>
          <w:szCs w:val="24"/>
        </w:rPr>
        <w:t>4.13</w:t>
      </w:r>
      <w:r>
        <w:rPr>
          <w:rFonts w:ascii="Verdana" w:hAnsi="Verdana"/>
          <w:sz w:val="24"/>
          <w:szCs w:val="24"/>
        </w:rPr>
        <w:tab/>
      </w:r>
      <w:r w:rsidR="00431C82" w:rsidRPr="00431C82">
        <w:rPr>
          <w:rFonts w:ascii="Verdana" w:hAnsi="Verdana"/>
          <w:sz w:val="24"/>
          <w:szCs w:val="24"/>
        </w:rPr>
        <w:t>Official evidence from the Government indicates that the UK’s</w:t>
      </w:r>
      <w:r>
        <w:rPr>
          <w:rFonts w:ascii="Verdana" w:hAnsi="Verdana"/>
          <w:sz w:val="24"/>
          <w:szCs w:val="24"/>
        </w:rPr>
        <w:t xml:space="preserve"> </w:t>
      </w:r>
      <w:r w:rsidR="00431C82" w:rsidRPr="00431C82">
        <w:rPr>
          <w:rFonts w:ascii="Verdana" w:hAnsi="Verdana"/>
          <w:sz w:val="24"/>
          <w:szCs w:val="24"/>
        </w:rPr>
        <w:t>membership in the EU has little impact upon demand for social</w:t>
      </w:r>
      <w:r>
        <w:rPr>
          <w:rFonts w:ascii="Verdana" w:hAnsi="Verdana"/>
          <w:sz w:val="24"/>
          <w:szCs w:val="24"/>
        </w:rPr>
        <w:t xml:space="preserve"> </w:t>
      </w:r>
      <w:r w:rsidR="00431C82" w:rsidRPr="00431C82">
        <w:rPr>
          <w:rFonts w:ascii="Verdana" w:hAnsi="Verdana"/>
          <w:sz w:val="24"/>
          <w:szCs w:val="24"/>
        </w:rPr>
        <w:t xml:space="preserve">housing. </w:t>
      </w:r>
      <w:r>
        <w:rPr>
          <w:rFonts w:ascii="Verdana" w:hAnsi="Verdana"/>
          <w:sz w:val="24"/>
          <w:szCs w:val="24"/>
        </w:rPr>
        <w:t xml:space="preserve"> </w:t>
      </w:r>
      <w:r w:rsidR="00431C82" w:rsidRPr="00431C82">
        <w:rPr>
          <w:rFonts w:ascii="Verdana" w:hAnsi="Verdana"/>
          <w:sz w:val="24"/>
          <w:szCs w:val="24"/>
        </w:rPr>
        <w:t>Official statistics on social housing lettings in England</w:t>
      </w:r>
      <w:r>
        <w:rPr>
          <w:rFonts w:ascii="Verdana" w:hAnsi="Verdana"/>
          <w:sz w:val="24"/>
          <w:szCs w:val="24"/>
        </w:rPr>
        <w:t xml:space="preserve"> </w:t>
      </w:r>
      <w:r w:rsidR="00431C82" w:rsidRPr="00431C82">
        <w:rPr>
          <w:rFonts w:ascii="Verdana" w:hAnsi="Verdana"/>
          <w:sz w:val="24"/>
          <w:szCs w:val="24"/>
        </w:rPr>
        <w:t>show that between April 2014 and March 2015 the vast majority</w:t>
      </w:r>
      <w:r>
        <w:rPr>
          <w:rFonts w:ascii="Verdana" w:hAnsi="Verdana"/>
          <w:sz w:val="24"/>
          <w:szCs w:val="24"/>
        </w:rPr>
        <w:t xml:space="preserve"> </w:t>
      </w:r>
      <w:r w:rsidR="00431C82" w:rsidRPr="00431C82">
        <w:rPr>
          <w:rFonts w:ascii="Verdana" w:hAnsi="Verdana"/>
          <w:sz w:val="24"/>
          <w:szCs w:val="24"/>
        </w:rPr>
        <w:t>of lettings (91%) were made to UK nationals.</w:t>
      </w:r>
    </w:p>
    <w:p w:rsidR="00431C82" w:rsidRDefault="00431C82" w:rsidP="00431C82">
      <w:pPr>
        <w:spacing w:after="0"/>
        <w:ind w:left="720" w:hanging="720"/>
        <w:jc w:val="both"/>
        <w:rPr>
          <w:rFonts w:ascii="Verdana" w:hAnsi="Verdana"/>
          <w:sz w:val="24"/>
          <w:szCs w:val="24"/>
        </w:rPr>
      </w:pPr>
    </w:p>
    <w:p w:rsidR="00431C82" w:rsidRDefault="004339DB" w:rsidP="004339DB">
      <w:pPr>
        <w:spacing w:after="0"/>
        <w:ind w:left="720" w:hanging="720"/>
        <w:jc w:val="both"/>
        <w:rPr>
          <w:rFonts w:ascii="Verdana" w:hAnsi="Verdana"/>
          <w:sz w:val="24"/>
          <w:szCs w:val="24"/>
        </w:rPr>
      </w:pPr>
      <w:r>
        <w:rPr>
          <w:rFonts w:ascii="Verdana" w:hAnsi="Verdana"/>
          <w:sz w:val="24"/>
          <w:szCs w:val="24"/>
        </w:rPr>
        <w:t>4.14</w:t>
      </w:r>
      <w:r>
        <w:rPr>
          <w:rFonts w:ascii="Verdana" w:hAnsi="Verdana"/>
          <w:sz w:val="24"/>
          <w:szCs w:val="24"/>
        </w:rPr>
        <w:tab/>
      </w:r>
      <w:r w:rsidR="00431C82" w:rsidRPr="00431C82">
        <w:rPr>
          <w:rFonts w:ascii="Verdana" w:hAnsi="Verdana"/>
          <w:sz w:val="24"/>
          <w:szCs w:val="24"/>
        </w:rPr>
        <w:t>However, evidence from the Chartered Institute of Building (CIB)</w:t>
      </w:r>
      <w:r>
        <w:rPr>
          <w:rFonts w:ascii="Verdana" w:hAnsi="Verdana"/>
          <w:sz w:val="24"/>
          <w:szCs w:val="24"/>
        </w:rPr>
        <w:t xml:space="preserve"> </w:t>
      </w:r>
      <w:r w:rsidR="00431C82" w:rsidRPr="00431C82">
        <w:rPr>
          <w:rFonts w:ascii="Verdana" w:hAnsi="Verdana"/>
          <w:sz w:val="24"/>
          <w:szCs w:val="24"/>
        </w:rPr>
        <w:t xml:space="preserve">claims that the EU’s free movement policy does affect </w:t>
      </w:r>
      <w:r>
        <w:rPr>
          <w:rFonts w:ascii="Verdana" w:hAnsi="Verdana"/>
          <w:sz w:val="24"/>
          <w:szCs w:val="24"/>
        </w:rPr>
        <w:t xml:space="preserve">housing </w:t>
      </w:r>
      <w:r w:rsidR="00431C82" w:rsidRPr="00431C82">
        <w:rPr>
          <w:rFonts w:ascii="Verdana" w:hAnsi="Verdana"/>
          <w:sz w:val="24"/>
          <w:szCs w:val="24"/>
        </w:rPr>
        <w:t>supply as</w:t>
      </w:r>
      <w:r>
        <w:rPr>
          <w:rFonts w:ascii="Verdana" w:hAnsi="Verdana"/>
          <w:sz w:val="24"/>
          <w:szCs w:val="24"/>
        </w:rPr>
        <w:t xml:space="preserve"> </w:t>
      </w:r>
      <w:r w:rsidR="00431C82" w:rsidRPr="00431C82">
        <w:rPr>
          <w:rFonts w:ascii="Verdana" w:hAnsi="Verdana"/>
          <w:sz w:val="24"/>
          <w:szCs w:val="24"/>
        </w:rPr>
        <w:t>it provides skilled workers for labour.</w:t>
      </w:r>
      <w:r>
        <w:rPr>
          <w:rStyle w:val="FootnoteReference"/>
          <w:rFonts w:ascii="Verdana" w:hAnsi="Verdana"/>
          <w:sz w:val="24"/>
          <w:szCs w:val="24"/>
        </w:rPr>
        <w:footnoteReference w:id="20"/>
      </w:r>
      <w:r w:rsidR="00431C82" w:rsidRPr="00431C82">
        <w:rPr>
          <w:rFonts w:ascii="Verdana" w:hAnsi="Verdana"/>
          <w:sz w:val="24"/>
          <w:szCs w:val="24"/>
        </w:rPr>
        <w:t xml:space="preserve"> </w:t>
      </w:r>
      <w:r>
        <w:rPr>
          <w:rFonts w:ascii="Verdana" w:hAnsi="Verdana"/>
          <w:sz w:val="24"/>
          <w:szCs w:val="24"/>
        </w:rPr>
        <w:t xml:space="preserve"> </w:t>
      </w:r>
      <w:r w:rsidR="00431C82" w:rsidRPr="00431C82">
        <w:rPr>
          <w:rFonts w:ascii="Verdana" w:hAnsi="Verdana"/>
          <w:sz w:val="24"/>
          <w:szCs w:val="24"/>
        </w:rPr>
        <w:t>The CIB research suggests, caps on immigration will also</w:t>
      </w:r>
      <w:r>
        <w:rPr>
          <w:rFonts w:ascii="Verdana" w:hAnsi="Verdana"/>
          <w:sz w:val="24"/>
          <w:szCs w:val="24"/>
        </w:rPr>
        <w:t xml:space="preserve"> </w:t>
      </w:r>
      <w:r w:rsidR="00431C82" w:rsidRPr="00431C82">
        <w:rPr>
          <w:rFonts w:ascii="Verdana" w:hAnsi="Verdana"/>
          <w:sz w:val="24"/>
          <w:szCs w:val="24"/>
        </w:rPr>
        <w:t>potentially harm housebuilding rates, as not enough British</w:t>
      </w:r>
      <w:r>
        <w:rPr>
          <w:rFonts w:ascii="Verdana" w:hAnsi="Verdana"/>
          <w:sz w:val="24"/>
          <w:szCs w:val="24"/>
        </w:rPr>
        <w:t xml:space="preserve"> </w:t>
      </w:r>
      <w:r w:rsidR="00431C82" w:rsidRPr="00431C82">
        <w:rPr>
          <w:rFonts w:ascii="Verdana" w:hAnsi="Verdana"/>
          <w:sz w:val="24"/>
          <w:szCs w:val="24"/>
        </w:rPr>
        <w:t>born</w:t>
      </w:r>
      <w:r>
        <w:rPr>
          <w:rFonts w:ascii="Verdana" w:hAnsi="Verdana"/>
          <w:sz w:val="24"/>
          <w:szCs w:val="24"/>
        </w:rPr>
        <w:t xml:space="preserve"> </w:t>
      </w:r>
      <w:r w:rsidR="00431C82" w:rsidRPr="00431C82">
        <w:rPr>
          <w:rFonts w:ascii="Verdana" w:hAnsi="Verdana"/>
          <w:sz w:val="24"/>
          <w:szCs w:val="24"/>
        </w:rPr>
        <w:t>nationals are trained or interested in construction careers</w:t>
      </w:r>
      <w:r>
        <w:rPr>
          <w:rFonts w:ascii="Verdana" w:hAnsi="Verdana"/>
          <w:sz w:val="24"/>
          <w:szCs w:val="24"/>
        </w:rPr>
        <w:t xml:space="preserve"> </w:t>
      </w:r>
      <w:r w:rsidR="00431C82" w:rsidRPr="00431C82">
        <w:rPr>
          <w:rFonts w:ascii="Verdana" w:hAnsi="Verdana"/>
          <w:sz w:val="24"/>
          <w:szCs w:val="24"/>
        </w:rPr>
        <w:t>and migrants have been filling the gap.</w:t>
      </w:r>
    </w:p>
    <w:p w:rsidR="008268FF" w:rsidRDefault="008268FF" w:rsidP="004339DB">
      <w:pPr>
        <w:spacing w:after="0"/>
        <w:ind w:left="720" w:hanging="720"/>
        <w:jc w:val="both"/>
        <w:rPr>
          <w:rFonts w:ascii="Verdana" w:hAnsi="Verdana"/>
          <w:sz w:val="24"/>
          <w:szCs w:val="24"/>
        </w:rPr>
      </w:pPr>
    </w:p>
    <w:p w:rsidR="008268FF" w:rsidRPr="00355FAA" w:rsidRDefault="008268FF" w:rsidP="008268FF">
      <w:pPr>
        <w:spacing w:after="0"/>
        <w:ind w:left="720"/>
        <w:jc w:val="both"/>
        <w:rPr>
          <w:rFonts w:ascii="Verdana" w:hAnsi="Verdana"/>
          <w:b/>
          <w:sz w:val="24"/>
          <w:szCs w:val="24"/>
        </w:rPr>
      </w:pPr>
      <w:r w:rsidRPr="00355FAA">
        <w:rPr>
          <w:rFonts w:ascii="Verdana" w:hAnsi="Verdana"/>
          <w:b/>
          <w:sz w:val="24"/>
          <w:szCs w:val="24"/>
        </w:rPr>
        <w:t>Crime and Law Enforcement:</w:t>
      </w:r>
    </w:p>
    <w:p w:rsidR="008268FF" w:rsidRDefault="008268FF" w:rsidP="008268FF">
      <w:pPr>
        <w:spacing w:after="0"/>
        <w:ind w:left="720"/>
        <w:jc w:val="both"/>
        <w:rPr>
          <w:rFonts w:ascii="Verdana" w:hAnsi="Verdana"/>
          <w:sz w:val="24"/>
          <w:szCs w:val="24"/>
        </w:rPr>
      </w:pPr>
    </w:p>
    <w:p w:rsidR="00D14B7F" w:rsidRDefault="008268FF" w:rsidP="00D14B7F">
      <w:pPr>
        <w:spacing w:after="0"/>
        <w:ind w:left="720" w:hanging="720"/>
        <w:jc w:val="both"/>
        <w:rPr>
          <w:rFonts w:ascii="Verdana" w:hAnsi="Verdana"/>
          <w:sz w:val="24"/>
          <w:szCs w:val="24"/>
        </w:rPr>
      </w:pPr>
      <w:r>
        <w:rPr>
          <w:rFonts w:ascii="Verdana" w:hAnsi="Verdana"/>
          <w:sz w:val="24"/>
          <w:szCs w:val="24"/>
        </w:rPr>
        <w:t>4.15</w:t>
      </w:r>
      <w:r>
        <w:rPr>
          <w:rFonts w:ascii="Verdana" w:hAnsi="Verdana"/>
          <w:sz w:val="24"/>
          <w:szCs w:val="24"/>
        </w:rPr>
        <w:tab/>
      </w:r>
      <w:r w:rsidR="00D14B7F" w:rsidRPr="00D14B7F">
        <w:rPr>
          <w:rFonts w:ascii="Verdana" w:hAnsi="Verdana"/>
          <w:sz w:val="24"/>
          <w:szCs w:val="24"/>
        </w:rPr>
        <w:t xml:space="preserve">Much of UK legislation is influenced directly by EU Law. </w:t>
      </w:r>
      <w:r w:rsidR="00D14B7F">
        <w:rPr>
          <w:rFonts w:ascii="Verdana" w:hAnsi="Verdana"/>
          <w:sz w:val="24"/>
          <w:szCs w:val="24"/>
        </w:rPr>
        <w:t xml:space="preserve"> </w:t>
      </w:r>
      <w:r w:rsidR="00D14B7F" w:rsidRPr="00D14B7F">
        <w:rPr>
          <w:rFonts w:ascii="Verdana" w:hAnsi="Verdana"/>
          <w:sz w:val="24"/>
          <w:szCs w:val="24"/>
        </w:rPr>
        <w:t>Public</w:t>
      </w:r>
      <w:r w:rsidR="00D14B7F">
        <w:rPr>
          <w:rFonts w:ascii="Verdana" w:hAnsi="Verdana"/>
          <w:sz w:val="24"/>
          <w:szCs w:val="24"/>
        </w:rPr>
        <w:t xml:space="preserve"> </w:t>
      </w:r>
      <w:r w:rsidR="00D14B7F" w:rsidRPr="00D14B7F">
        <w:rPr>
          <w:rFonts w:ascii="Verdana" w:hAnsi="Verdana"/>
          <w:sz w:val="24"/>
          <w:szCs w:val="24"/>
        </w:rPr>
        <w:t>services and law enforcement agencies are shaped by EU</w:t>
      </w:r>
      <w:r w:rsidR="00D14B7F">
        <w:rPr>
          <w:rFonts w:ascii="Verdana" w:hAnsi="Verdana"/>
          <w:sz w:val="24"/>
          <w:szCs w:val="24"/>
        </w:rPr>
        <w:t xml:space="preserve"> </w:t>
      </w:r>
      <w:r w:rsidR="00D14B7F" w:rsidRPr="00D14B7F">
        <w:rPr>
          <w:rFonts w:ascii="Verdana" w:hAnsi="Verdana"/>
          <w:sz w:val="24"/>
          <w:szCs w:val="24"/>
        </w:rPr>
        <w:t xml:space="preserve">legislation and its policies and procedures. </w:t>
      </w:r>
      <w:r w:rsidR="00D14B7F">
        <w:rPr>
          <w:rFonts w:ascii="Verdana" w:hAnsi="Verdana"/>
          <w:sz w:val="24"/>
          <w:szCs w:val="24"/>
        </w:rPr>
        <w:t xml:space="preserve"> </w:t>
      </w:r>
      <w:r w:rsidR="00D14B7F" w:rsidRPr="00D14B7F">
        <w:rPr>
          <w:rFonts w:ascii="Verdana" w:hAnsi="Verdana"/>
          <w:sz w:val="24"/>
          <w:szCs w:val="24"/>
        </w:rPr>
        <w:t>Tracing the history</w:t>
      </w:r>
      <w:r w:rsidR="00D14B7F">
        <w:rPr>
          <w:rFonts w:ascii="Verdana" w:hAnsi="Verdana"/>
          <w:sz w:val="24"/>
          <w:szCs w:val="24"/>
        </w:rPr>
        <w:t xml:space="preserve"> </w:t>
      </w:r>
      <w:r w:rsidR="00D14B7F" w:rsidRPr="00D14B7F">
        <w:rPr>
          <w:rFonts w:ascii="Verdana" w:hAnsi="Verdana"/>
          <w:sz w:val="24"/>
          <w:szCs w:val="24"/>
        </w:rPr>
        <w:t>of UK law, the impact of the EU has been enormous and it is</w:t>
      </w:r>
      <w:r w:rsidR="00D14B7F">
        <w:rPr>
          <w:rFonts w:ascii="Verdana" w:hAnsi="Verdana"/>
          <w:sz w:val="24"/>
          <w:szCs w:val="24"/>
        </w:rPr>
        <w:t xml:space="preserve"> </w:t>
      </w:r>
      <w:r w:rsidR="00D14B7F" w:rsidRPr="00D14B7F">
        <w:rPr>
          <w:rFonts w:ascii="Verdana" w:hAnsi="Verdana"/>
          <w:sz w:val="24"/>
          <w:szCs w:val="24"/>
        </w:rPr>
        <w:t>difficult to disentangle one from the other.</w:t>
      </w:r>
    </w:p>
    <w:p w:rsidR="00D14B7F" w:rsidRPr="00D14B7F" w:rsidRDefault="00D14B7F" w:rsidP="00D14B7F">
      <w:pPr>
        <w:spacing w:after="0"/>
        <w:ind w:left="720" w:hanging="720"/>
        <w:jc w:val="both"/>
        <w:rPr>
          <w:rFonts w:ascii="Verdana" w:hAnsi="Verdana"/>
          <w:sz w:val="24"/>
          <w:szCs w:val="24"/>
        </w:rPr>
      </w:pPr>
    </w:p>
    <w:p w:rsidR="008268FF" w:rsidRDefault="00D14B7F" w:rsidP="00D14B7F">
      <w:pPr>
        <w:spacing w:after="0"/>
        <w:ind w:left="720" w:hanging="720"/>
        <w:jc w:val="both"/>
        <w:rPr>
          <w:rFonts w:ascii="Verdana" w:hAnsi="Verdana"/>
          <w:sz w:val="24"/>
          <w:szCs w:val="24"/>
        </w:rPr>
      </w:pPr>
      <w:r>
        <w:rPr>
          <w:rFonts w:ascii="Verdana" w:hAnsi="Verdana"/>
          <w:sz w:val="24"/>
          <w:szCs w:val="24"/>
        </w:rPr>
        <w:t>4.16</w:t>
      </w:r>
      <w:r>
        <w:rPr>
          <w:rFonts w:ascii="Verdana" w:hAnsi="Verdana"/>
          <w:sz w:val="24"/>
          <w:szCs w:val="24"/>
        </w:rPr>
        <w:tab/>
      </w:r>
      <w:r w:rsidRPr="00D14B7F">
        <w:rPr>
          <w:rFonts w:ascii="Verdana" w:hAnsi="Verdana"/>
          <w:sz w:val="24"/>
          <w:szCs w:val="24"/>
        </w:rPr>
        <w:t>Since 2014, the Court of Justice of the European Union (CJEU)</w:t>
      </w:r>
      <w:r>
        <w:rPr>
          <w:rFonts w:ascii="Verdana" w:hAnsi="Verdana"/>
          <w:sz w:val="24"/>
          <w:szCs w:val="24"/>
        </w:rPr>
        <w:t xml:space="preserve"> </w:t>
      </w:r>
      <w:r w:rsidRPr="00D14B7F">
        <w:rPr>
          <w:rFonts w:ascii="Verdana" w:hAnsi="Verdana"/>
          <w:sz w:val="24"/>
          <w:szCs w:val="24"/>
        </w:rPr>
        <w:t>has been able to rule on any criminal justice and policing</w:t>
      </w:r>
      <w:r>
        <w:rPr>
          <w:rFonts w:ascii="Verdana" w:hAnsi="Verdana"/>
          <w:sz w:val="24"/>
          <w:szCs w:val="24"/>
        </w:rPr>
        <w:t xml:space="preserve"> </w:t>
      </w:r>
      <w:r w:rsidRPr="00D14B7F">
        <w:rPr>
          <w:rFonts w:ascii="Verdana" w:hAnsi="Verdana"/>
          <w:sz w:val="24"/>
          <w:szCs w:val="24"/>
        </w:rPr>
        <w:t>matters.</w:t>
      </w:r>
      <w:r w:rsidR="00817D0C">
        <w:rPr>
          <w:rFonts w:ascii="Verdana" w:hAnsi="Verdana"/>
          <w:sz w:val="24"/>
          <w:szCs w:val="24"/>
        </w:rPr>
        <w:t xml:space="preserve"> </w:t>
      </w:r>
      <w:r w:rsidRPr="00D14B7F">
        <w:rPr>
          <w:rFonts w:ascii="Verdana" w:hAnsi="Verdana"/>
          <w:sz w:val="24"/>
          <w:szCs w:val="24"/>
        </w:rPr>
        <w:t xml:space="preserve"> In the public debate there has been criticism that the</w:t>
      </w:r>
      <w:r>
        <w:rPr>
          <w:rFonts w:ascii="Verdana" w:hAnsi="Verdana"/>
          <w:sz w:val="24"/>
          <w:szCs w:val="24"/>
        </w:rPr>
        <w:t xml:space="preserve"> </w:t>
      </w:r>
      <w:r w:rsidRPr="00D14B7F">
        <w:rPr>
          <w:rFonts w:ascii="Verdana" w:hAnsi="Verdana"/>
          <w:sz w:val="24"/>
          <w:szCs w:val="24"/>
        </w:rPr>
        <w:t>CJEU unfairly overrides British courts on criminal law matter</w:t>
      </w:r>
      <w:r>
        <w:rPr>
          <w:rFonts w:ascii="Verdana" w:hAnsi="Verdana"/>
          <w:sz w:val="24"/>
          <w:szCs w:val="24"/>
        </w:rPr>
        <w:t>s.</w:t>
      </w:r>
    </w:p>
    <w:p w:rsidR="00D14B7F" w:rsidRDefault="00D14B7F" w:rsidP="00D14B7F">
      <w:pPr>
        <w:spacing w:after="0"/>
        <w:ind w:left="720" w:hanging="720"/>
        <w:jc w:val="both"/>
        <w:rPr>
          <w:rFonts w:ascii="Verdana" w:hAnsi="Verdana"/>
          <w:sz w:val="24"/>
          <w:szCs w:val="24"/>
        </w:rPr>
      </w:pPr>
    </w:p>
    <w:p w:rsidR="00D14B7F" w:rsidRPr="00D14B7F" w:rsidRDefault="00D14B7F" w:rsidP="00D14B7F">
      <w:pPr>
        <w:spacing w:after="0"/>
        <w:ind w:left="720" w:hanging="720"/>
        <w:jc w:val="both"/>
        <w:rPr>
          <w:rFonts w:ascii="Verdana" w:hAnsi="Verdana"/>
          <w:sz w:val="24"/>
          <w:szCs w:val="24"/>
        </w:rPr>
      </w:pPr>
      <w:r>
        <w:rPr>
          <w:rFonts w:ascii="Verdana" w:hAnsi="Verdana"/>
          <w:sz w:val="24"/>
          <w:szCs w:val="24"/>
        </w:rPr>
        <w:lastRenderedPageBreak/>
        <w:t>4.17</w:t>
      </w:r>
      <w:r>
        <w:rPr>
          <w:rFonts w:ascii="Verdana" w:hAnsi="Verdana"/>
          <w:sz w:val="24"/>
          <w:szCs w:val="24"/>
        </w:rPr>
        <w:tab/>
      </w:r>
      <w:r w:rsidRPr="00D14B7F">
        <w:rPr>
          <w:rFonts w:ascii="Verdana" w:hAnsi="Verdana"/>
          <w:sz w:val="24"/>
          <w:szCs w:val="24"/>
        </w:rPr>
        <w:t>David Davis MP argued that the ‘European Court of Justice is</w:t>
      </w:r>
      <w:r>
        <w:rPr>
          <w:rFonts w:ascii="Verdana" w:hAnsi="Verdana"/>
          <w:sz w:val="24"/>
          <w:szCs w:val="24"/>
        </w:rPr>
        <w:t xml:space="preserve"> </w:t>
      </w:r>
      <w:r w:rsidRPr="00D14B7F">
        <w:rPr>
          <w:rFonts w:ascii="Verdana" w:hAnsi="Verdana"/>
          <w:sz w:val="24"/>
          <w:szCs w:val="24"/>
        </w:rPr>
        <w:t>moving to a position where it can tell our law makers and our</w:t>
      </w:r>
      <w:r>
        <w:rPr>
          <w:rFonts w:ascii="Verdana" w:hAnsi="Verdana"/>
          <w:sz w:val="24"/>
          <w:szCs w:val="24"/>
        </w:rPr>
        <w:t xml:space="preserve"> </w:t>
      </w:r>
      <w:r w:rsidRPr="00D14B7F">
        <w:rPr>
          <w:rFonts w:ascii="Verdana" w:hAnsi="Verdana"/>
          <w:sz w:val="24"/>
          <w:szCs w:val="24"/>
        </w:rPr>
        <w:t>law givers, our parliamentarians and our judges exactly what</w:t>
      </w:r>
      <w:r>
        <w:rPr>
          <w:rFonts w:ascii="Verdana" w:hAnsi="Verdana"/>
          <w:sz w:val="24"/>
          <w:szCs w:val="24"/>
        </w:rPr>
        <w:t xml:space="preserve"> </w:t>
      </w:r>
      <w:r w:rsidRPr="00D14B7F">
        <w:rPr>
          <w:rFonts w:ascii="Verdana" w:hAnsi="Verdana"/>
          <w:sz w:val="24"/>
          <w:szCs w:val="24"/>
        </w:rPr>
        <w:t>they should and shouldn’t do’.</w:t>
      </w:r>
      <w:r>
        <w:rPr>
          <w:rStyle w:val="FootnoteReference"/>
          <w:rFonts w:ascii="Verdana" w:hAnsi="Verdana"/>
          <w:sz w:val="24"/>
          <w:szCs w:val="24"/>
        </w:rPr>
        <w:footnoteReference w:id="21"/>
      </w:r>
    </w:p>
    <w:p w:rsidR="00D14B7F" w:rsidRDefault="00D14B7F" w:rsidP="00D14B7F">
      <w:pPr>
        <w:spacing w:after="0"/>
        <w:ind w:left="720" w:hanging="720"/>
        <w:jc w:val="both"/>
        <w:rPr>
          <w:rFonts w:ascii="Verdana" w:hAnsi="Verdana"/>
          <w:sz w:val="24"/>
          <w:szCs w:val="24"/>
        </w:rPr>
      </w:pPr>
    </w:p>
    <w:p w:rsidR="00D14B7F" w:rsidRDefault="00D14B7F" w:rsidP="00D14B7F">
      <w:pPr>
        <w:spacing w:after="0"/>
        <w:ind w:left="720" w:hanging="720"/>
        <w:jc w:val="both"/>
        <w:rPr>
          <w:rFonts w:ascii="Verdana" w:hAnsi="Verdana"/>
          <w:sz w:val="24"/>
          <w:szCs w:val="24"/>
        </w:rPr>
      </w:pPr>
      <w:r>
        <w:rPr>
          <w:rFonts w:ascii="Verdana" w:hAnsi="Verdana"/>
          <w:sz w:val="24"/>
          <w:szCs w:val="24"/>
        </w:rPr>
        <w:t>4.18</w:t>
      </w:r>
      <w:r>
        <w:rPr>
          <w:rFonts w:ascii="Verdana" w:hAnsi="Verdana"/>
          <w:sz w:val="24"/>
          <w:szCs w:val="24"/>
        </w:rPr>
        <w:tab/>
      </w:r>
      <w:r w:rsidRPr="00D14B7F">
        <w:rPr>
          <w:rFonts w:ascii="Verdana" w:hAnsi="Verdana"/>
          <w:sz w:val="24"/>
          <w:szCs w:val="24"/>
        </w:rPr>
        <w:t>A report from the Law Society, on the EU’s influence in the</w:t>
      </w:r>
      <w:r>
        <w:rPr>
          <w:rFonts w:ascii="Verdana" w:hAnsi="Verdana"/>
          <w:sz w:val="24"/>
          <w:szCs w:val="24"/>
        </w:rPr>
        <w:t xml:space="preserve"> </w:t>
      </w:r>
      <w:r w:rsidRPr="00D14B7F">
        <w:rPr>
          <w:rFonts w:ascii="Verdana" w:hAnsi="Verdana"/>
          <w:sz w:val="24"/>
          <w:szCs w:val="24"/>
        </w:rPr>
        <w:t>sector, suggests that the frequency of which the CJEU rules</w:t>
      </w:r>
      <w:r>
        <w:rPr>
          <w:rFonts w:ascii="Verdana" w:hAnsi="Verdana"/>
          <w:sz w:val="24"/>
          <w:szCs w:val="24"/>
        </w:rPr>
        <w:t xml:space="preserve"> </w:t>
      </w:r>
      <w:r w:rsidRPr="00D14B7F">
        <w:rPr>
          <w:rFonts w:ascii="Verdana" w:hAnsi="Verdana"/>
          <w:sz w:val="24"/>
          <w:szCs w:val="24"/>
        </w:rPr>
        <w:t>on criminal justice and policing matters is likely to increase.</w:t>
      </w:r>
      <w:r>
        <w:rPr>
          <w:rStyle w:val="FootnoteReference"/>
          <w:rFonts w:ascii="Verdana" w:hAnsi="Verdana"/>
          <w:sz w:val="24"/>
          <w:szCs w:val="24"/>
        </w:rPr>
        <w:footnoteReference w:id="22"/>
      </w:r>
      <w:r w:rsidR="00BD4DDD">
        <w:rPr>
          <w:rFonts w:ascii="Verdana" w:hAnsi="Verdana"/>
          <w:sz w:val="24"/>
          <w:szCs w:val="24"/>
        </w:rPr>
        <w:t xml:space="preserve">  </w:t>
      </w:r>
      <w:r w:rsidRPr="00D14B7F">
        <w:rPr>
          <w:rFonts w:ascii="Verdana" w:hAnsi="Verdana"/>
          <w:sz w:val="24"/>
          <w:szCs w:val="24"/>
        </w:rPr>
        <w:t>However, they claim that such interference is not ‘unhelpful’</w:t>
      </w:r>
      <w:r w:rsidR="00BD4DDD">
        <w:rPr>
          <w:rFonts w:ascii="Verdana" w:hAnsi="Verdana"/>
          <w:sz w:val="24"/>
          <w:szCs w:val="24"/>
        </w:rPr>
        <w:t xml:space="preserve"> </w:t>
      </w:r>
      <w:r w:rsidRPr="00D14B7F">
        <w:rPr>
          <w:rFonts w:ascii="Verdana" w:hAnsi="Verdana"/>
          <w:sz w:val="24"/>
          <w:szCs w:val="24"/>
        </w:rPr>
        <w:t>and that they are likely to be respectful of the UK system.</w:t>
      </w:r>
      <w:r w:rsidR="00BD4DDD">
        <w:rPr>
          <w:rFonts w:ascii="Verdana" w:hAnsi="Verdana"/>
          <w:sz w:val="24"/>
          <w:szCs w:val="24"/>
        </w:rPr>
        <w:t xml:space="preserve">  </w:t>
      </w:r>
      <w:r w:rsidRPr="00D14B7F">
        <w:rPr>
          <w:rFonts w:ascii="Verdana" w:hAnsi="Verdana"/>
          <w:sz w:val="24"/>
          <w:szCs w:val="24"/>
        </w:rPr>
        <w:t>The report also argues that the UK’s justice system has a unique</w:t>
      </w:r>
      <w:r w:rsidR="00BD4DDD">
        <w:rPr>
          <w:rFonts w:ascii="Verdana" w:hAnsi="Verdana"/>
          <w:sz w:val="24"/>
          <w:szCs w:val="24"/>
        </w:rPr>
        <w:t xml:space="preserve"> </w:t>
      </w:r>
      <w:r w:rsidRPr="00D14B7F">
        <w:rPr>
          <w:rFonts w:ascii="Verdana" w:hAnsi="Verdana"/>
          <w:sz w:val="24"/>
          <w:szCs w:val="24"/>
        </w:rPr>
        <w:t xml:space="preserve">position in the EU. </w:t>
      </w:r>
      <w:r w:rsidR="00BD4DDD">
        <w:rPr>
          <w:rFonts w:ascii="Verdana" w:hAnsi="Verdana"/>
          <w:sz w:val="24"/>
          <w:szCs w:val="24"/>
        </w:rPr>
        <w:t xml:space="preserve"> </w:t>
      </w:r>
      <w:r w:rsidRPr="00D14B7F">
        <w:rPr>
          <w:rFonts w:ascii="Verdana" w:hAnsi="Verdana"/>
          <w:sz w:val="24"/>
          <w:szCs w:val="24"/>
        </w:rPr>
        <w:t>Rather than just following directives, they</w:t>
      </w:r>
      <w:r w:rsidR="00BD4DDD">
        <w:rPr>
          <w:rFonts w:ascii="Verdana" w:hAnsi="Verdana"/>
          <w:sz w:val="24"/>
          <w:szCs w:val="24"/>
        </w:rPr>
        <w:t xml:space="preserve"> </w:t>
      </w:r>
      <w:r w:rsidRPr="00D14B7F">
        <w:rPr>
          <w:rFonts w:ascii="Verdana" w:hAnsi="Verdana"/>
          <w:sz w:val="24"/>
          <w:szCs w:val="24"/>
        </w:rPr>
        <w:t>claim that the UK is one of the most influential shapers of</w:t>
      </w:r>
      <w:r w:rsidR="00BD4DDD">
        <w:rPr>
          <w:rFonts w:ascii="Verdana" w:hAnsi="Verdana"/>
          <w:sz w:val="24"/>
          <w:szCs w:val="24"/>
        </w:rPr>
        <w:t xml:space="preserve"> </w:t>
      </w:r>
      <w:r w:rsidRPr="00D14B7F">
        <w:rPr>
          <w:rFonts w:ascii="Verdana" w:hAnsi="Verdana"/>
          <w:sz w:val="24"/>
          <w:szCs w:val="24"/>
        </w:rPr>
        <w:t>justice and criminal policy.</w:t>
      </w:r>
    </w:p>
    <w:p w:rsidR="00BD4DDD" w:rsidRDefault="00BD4DDD" w:rsidP="00D14B7F">
      <w:pPr>
        <w:spacing w:after="0"/>
        <w:ind w:left="720" w:hanging="720"/>
        <w:jc w:val="both"/>
        <w:rPr>
          <w:rFonts w:ascii="Verdana" w:hAnsi="Verdana"/>
          <w:sz w:val="24"/>
          <w:szCs w:val="24"/>
        </w:rPr>
      </w:pPr>
    </w:p>
    <w:p w:rsidR="00BD4DDD" w:rsidRDefault="00BD4DDD" w:rsidP="00BD4DDD">
      <w:pPr>
        <w:spacing w:after="0"/>
        <w:ind w:left="720" w:hanging="720"/>
        <w:jc w:val="both"/>
        <w:rPr>
          <w:rFonts w:ascii="Verdana" w:hAnsi="Verdana"/>
          <w:sz w:val="24"/>
          <w:szCs w:val="24"/>
        </w:rPr>
      </w:pPr>
      <w:r>
        <w:rPr>
          <w:rFonts w:ascii="Verdana" w:hAnsi="Verdana"/>
          <w:sz w:val="24"/>
          <w:szCs w:val="24"/>
        </w:rPr>
        <w:t>4.19</w:t>
      </w:r>
      <w:r>
        <w:rPr>
          <w:rFonts w:ascii="Verdana" w:hAnsi="Verdana"/>
          <w:sz w:val="24"/>
          <w:szCs w:val="24"/>
        </w:rPr>
        <w:tab/>
      </w:r>
      <w:r w:rsidRPr="00BD4DDD">
        <w:rPr>
          <w:rFonts w:ascii="Verdana" w:hAnsi="Verdana"/>
          <w:sz w:val="24"/>
          <w:szCs w:val="24"/>
        </w:rPr>
        <w:t>The UK and the Republic of Ireland opted out of the internal</w:t>
      </w:r>
      <w:r>
        <w:rPr>
          <w:rFonts w:ascii="Verdana" w:hAnsi="Verdana"/>
          <w:sz w:val="24"/>
          <w:szCs w:val="24"/>
        </w:rPr>
        <w:t xml:space="preserve"> </w:t>
      </w:r>
      <w:r w:rsidRPr="00BD4DDD">
        <w:rPr>
          <w:rFonts w:ascii="Verdana" w:hAnsi="Verdana"/>
          <w:sz w:val="24"/>
          <w:szCs w:val="24"/>
        </w:rPr>
        <w:t>borders policy</w:t>
      </w:r>
      <w:r>
        <w:rPr>
          <w:rFonts w:ascii="Verdana" w:hAnsi="Verdana"/>
          <w:sz w:val="24"/>
          <w:szCs w:val="24"/>
        </w:rPr>
        <w:t xml:space="preserve"> (or Schengen agreement)</w:t>
      </w:r>
      <w:r w:rsidRPr="00BD4DDD">
        <w:rPr>
          <w:rFonts w:ascii="Verdana" w:hAnsi="Verdana"/>
          <w:sz w:val="24"/>
          <w:szCs w:val="24"/>
        </w:rPr>
        <w:t>, but did sign up to the other agreements of the</w:t>
      </w:r>
      <w:r>
        <w:rPr>
          <w:rFonts w:ascii="Verdana" w:hAnsi="Verdana"/>
          <w:sz w:val="24"/>
          <w:szCs w:val="24"/>
        </w:rPr>
        <w:t xml:space="preserve"> </w:t>
      </w:r>
      <w:r w:rsidRPr="00BD4DDD">
        <w:rPr>
          <w:rFonts w:ascii="Verdana" w:hAnsi="Verdana"/>
          <w:sz w:val="24"/>
          <w:szCs w:val="24"/>
        </w:rPr>
        <w:t xml:space="preserve">Schengen treaty. </w:t>
      </w:r>
      <w:r>
        <w:rPr>
          <w:rFonts w:ascii="Verdana" w:hAnsi="Verdana"/>
          <w:sz w:val="24"/>
          <w:szCs w:val="24"/>
        </w:rPr>
        <w:t xml:space="preserve"> </w:t>
      </w:r>
      <w:r w:rsidRPr="00BD4DDD">
        <w:rPr>
          <w:rFonts w:ascii="Verdana" w:hAnsi="Verdana"/>
          <w:sz w:val="24"/>
          <w:szCs w:val="24"/>
        </w:rPr>
        <w:t>This includes the Schengen Information</w:t>
      </w:r>
      <w:r>
        <w:rPr>
          <w:rFonts w:ascii="Verdana" w:hAnsi="Verdana"/>
          <w:sz w:val="24"/>
          <w:szCs w:val="24"/>
        </w:rPr>
        <w:t xml:space="preserve"> </w:t>
      </w:r>
      <w:r w:rsidRPr="00BD4DDD">
        <w:rPr>
          <w:rFonts w:ascii="Verdana" w:hAnsi="Verdana"/>
          <w:sz w:val="24"/>
          <w:szCs w:val="24"/>
        </w:rPr>
        <w:t>System (SIS) which is a database allowing judicial authorities</w:t>
      </w:r>
      <w:r>
        <w:rPr>
          <w:rFonts w:ascii="Verdana" w:hAnsi="Verdana"/>
          <w:sz w:val="24"/>
          <w:szCs w:val="24"/>
        </w:rPr>
        <w:t xml:space="preserve"> </w:t>
      </w:r>
      <w:r w:rsidRPr="00BD4DDD">
        <w:rPr>
          <w:rFonts w:ascii="Verdana" w:hAnsi="Verdana"/>
          <w:sz w:val="24"/>
          <w:szCs w:val="24"/>
        </w:rPr>
        <w:t>from signatory states to access information relevant to law</w:t>
      </w:r>
      <w:r>
        <w:rPr>
          <w:rFonts w:ascii="Verdana" w:hAnsi="Verdana"/>
          <w:sz w:val="24"/>
          <w:szCs w:val="24"/>
        </w:rPr>
        <w:t xml:space="preserve"> </w:t>
      </w:r>
      <w:r w:rsidRPr="00BD4DDD">
        <w:rPr>
          <w:rFonts w:ascii="Verdana" w:hAnsi="Verdana"/>
          <w:sz w:val="24"/>
          <w:szCs w:val="24"/>
        </w:rPr>
        <w:t>enforcement.</w:t>
      </w:r>
      <w:r>
        <w:rPr>
          <w:rFonts w:ascii="Verdana" w:hAnsi="Verdana"/>
          <w:sz w:val="24"/>
          <w:szCs w:val="24"/>
        </w:rPr>
        <w:t xml:space="preserve">   </w:t>
      </w:r>
      <w:r w:rsidRPr="00BD4DDD">
        <w:rPr>
          <w:rFonts w:ascii="Verdana" w:hAnsi="Verdana"/>
          <w:sz w:val="24"/>
          <w:szCs w:val="24"/>
        </w:rPr>
        <w:t>It also includes enhanced police co-operation and hot pursuit,</w:t>
      </w:r>
      <w:r>
        <w:rPr>
          <w:rFonts w:ascii="Verdana" w:hAnsi="Verdana"/>
          <w:sz w:val="24"/>
          <w:szCs w:val="24"/>
        </w:rPr>
        <w:t xml:space="preserve"> </w:t>
      </w:r>
      <w:r w:rsidRPr="00BD4DDD">
        <w:rPr>
          <w:rFonts w:ascii="Verdana" w:hAnsi="Verdana"/>
          <w:sz w:val="24"/>
          <w:szCs w:val="24"/>
        </w:rPr>
        <w:t>allowing police to pursue a suspect across the borders of</w:t>
      </w:r>
      <w:r>
        <w:rPr>
          <w:rFonts w:ascii="Verdana" w:hAnsi="Verdana"/>
          <w:sz w:val="24"/>
          <w:szCs w:val="24"/>
        </w:rPr>
        <w:t xml:space="preserve"> </w:t>
      </w:r>
      <w:r w:rsidRPr="00BD4DDD">
        <w:rPr>
          <w:rFonts w:ascii="Verdana" w:hAnsi="Verdana"/>
          <w:sz w:val="24"/>
          <w:szCs w:val="24"/>
        </w:rPr>
        <w:t>member countries.</w:t>
      </w:r>
    </w:p>
    <w:p w:rsidR="00BD4DDD" w:rsidRDefault="00BD4DDD" w:rsidP="00BD4DDD">
      <w:pPr>
        <w:spacing w:after="0"/>
        <w:ind w:left="720" w:hanging="720"/>
        <w:jc w:val="both"/>
        <w:rPr>
          <w:rFonts w:ascii="Verdana" w:hAnsi="Verdana"/>
          <w:sz w:val="24"/>
          <w:szCs w:val="24"/>
        </w:rPr>
      </w:pPr>
    </w:p>
    <w:p w:rsidR="00BD4DDD" w:rsidRDefault="00BD4DDD" w:rsidP="00BD4DDD">
      <w:pPr>
        <w:spacing w:after="0"/>
        <w:ind w:left="720" w:hanging="720"/>
        <w:jc w:val="both"/>
        <w:rPr>
          <w:rFonts w:ascii="Verdana" w:hAnsi="Verdana"/>
          <w:sz w:val="24"/>
          <w:szCs w:val="24"/>
        </w:rPr>
      </w:pPr>
      <w:r>
        <w:rPr>
          <w:rFonts w:ascii="Verdana" w:hAnsi="Verdana"/>
          <w:sz w:val="24"/>
          <w:szCs w:val="24"/>
        </w:rPr>
        <w:t>4.20</w:t>
      </w:r>
      <w:r>
        <w:rPr>
          <w:rFonts w:ascii="Verdana" w:hAnsi="Verdana"/>
          <w:sz w:val="24"/>
          <w:szCs w:val="24"/>
        </w:rPr>
        <w:tab/>
        <w:t xml:space="preserve">These arrangements feed into the use of European arrest warrants and other cooperation between the National Crime Agency, Home Office and police forces across the EU.  Withdrawal from the UK could mean reviewing how these important arrangements continue to work in practice. </w:t>
      </w:r>
    </w:p>
    <w:p w:rsidR="00BD4DDD" w:rsidRDefault="00BD4DDD" w:rsidP="00BD4DDD">
      <w:pPr>
        <w:spacing w:after="0"/>
        <w:ind w:left="720" w:hanging="720"/>
        <w:jc w:val="both"/>
        <w:rPr>
          <w:rFonts w:ascii="Verdana" w:hAnsi="Verdana"/>
          <w:sz w:val="24"/>
          <w:szCs w:val="24"/>
        </w:rPr>
      </w:pPr>
    </w:p>
    <w:p w:rsidR="00BD4DDD" w:rsidRDefault="00BD4DDD" w:rsidP="00BD4DDD">
      <w:pPr>
        <w:spacing w:after="0"/>
        <w:ind w:left="720" w:hanging="720"/>
        <w:jc w:val="both"/>
        <w:rPr>
          <w:rFonts w:ascii="Verdana" w:hAnsi="Verdana"/>
          <w:sz w:val="24"/>
          <w:szCs w:val="24"/>
        </w:rPr>
      </w:pPr>
      <w:r>
        <w:rPr>
          <w:rFonts w:ascii="Verdana" w:hAnsi="Verdana"/>
          <w:sz w:val="24"/>
          <w:szCs w:val="24"/>
        </w:rPr>
        <w:t>4.21</w:t>
      </w:r>
      <w:r>
        <w:rPr>
          <w:rFonts w:ascii="Verdana" w:hAnsi="Verdana"/>
          <w:sz w:val="24"/>
          <w:szCs w:val="24"/>
        </w:rPr>
        <w:tab/>
      </w:r>
      <w:r w:rsidRPr="00BD4DDD">
        <w:rPr>
          <w:rFonts w:ascii="Verdana" w:hAnsi="Verdana"/>
          <w:sz w:val="24"/>
          <w:szCs w:val="24"/>
        </w:rPr>
        <w:t>At present, UK citizens have the protection of the European</w:t>
      </w:r>
      <w:r>
        <w:rPr>
          <w:rFonts w:ascii="Verdana" w:hAnsi="Verdana"/>
          <w:sz w:val="24"/>
          <w:szCs w:val="24"/>
        </w:rPr>
        <w:t xml:space="preserve"> </w:t>
      </w:r>
      <w:r w:rsidRPr="00BD4DDD">
        <w:rPr>
          <w:rFonts w:ascii="Verdana" w:hAnsi="Verdana"/>
          <w:sz w:val="24"/>
          <w:szCs w:val="24"/>
        </w:rPr>
        <w:t xml:space="preserve">Courts and of EU legislation on data protection. </w:t>
      </w:r>
      <w:r>
        <w:rPr>
          <w:rFonts w:ascii="Verdana" w:hAnsi="Verdana"/>
          <w:sz w:val="24"/>
          <w:szCs w:val="24"/>
        </w:rPr>
        <w:t xml:space="preserve"> </w:t>
      </w:r>
      <w:r w:rsidRPr="00BD4DDD">
        <w:rPr>
          <w:rFonts w:ascii="Verdana" w:hAnsi="Verdana"/>
          <w:sz w:val="24"/>
          <w:szCs w:val="24"/>
        </w:rPr>
        <w:t>These rules</w:t>
      </w:r>
      <w:r>
        <w:rPr>
          <w:rFonts w:ascii="Verdana" w:hAnsi="Verdana"/>
          <w:sz w:val="24"/>
          <w:szCs w:val="24"/>
        </w:rPr>
        <w:t xml:space="preserve"> </w:t>
      </w:r>
      <w:r w:rsidRPr="00BD4DDD">
        <w:rPr>
          <w:rFonts w:ascii="Verdana" w:hAnsi="Verdana"/>
          <w:sz w:val="24"/>
          <w:szCs w:val="24"/>
        </w:rPr>
        <w:t>regulate the way the public sector deals with data.</w:t>
      </w:r>
      <w:r>
        <w:rPr>
          <w:rFonts w:ascii="Verdana" w:hAnsi="Verdana"/>
          <w:sz w:val="24"/>
          <w:szCs w:val="24"/>
        </w:rPr>
        <w:t xml:space="preserve">   These </w:t>
      </w:r>
      <w:r w:rsidRPr="00BD4DDD">
        <w:rPr>
          <w:rFonts w:ascii="Verdana" w:hAnsi="Verdana"/>
          <w:sz w:val="24"/>
          <w:szCs w:val="24"/>
        </w:rPr>
        <w:t>EU laws also mean that</w:t>
      </w:r>
      <w:r>
        <w:rPr>
          <w:rFonts w:ascii="Verdana" w:hAnsi="Verdana"/>
          <w:sz w:val="24"/>
          <w:szCs w:val="24"/>
        </w:rPr>
        <w:t xml:space="preserve"> </w:t>
      </w:r>
      <w:r w:rsidRPr="00BD4DDD">
        <w:rPr>
          <w:rFonts w:ascii="Verdana" w:hAnsi="Verdana"/>
          <w:sz w:val="24"/>
          <w:szCs w:val="24"/>
        </w:rPr>
        <w:t>organisations are able to share personal data for the prevention</w:t>
      </w:r>
      <w:r>
        <w:rPr>
          <w:rFonts w:ascii="Verdana" w:hAnsi="Verdana"/>
          <w:sz w:val="24"/>
          <w:szCs w:val="24"/>
        </w:rPr>
        <w:t xml:space="preserve"> </w:t>
      </w:r>
      <w:r w:rsidRPr="00BD4DDD">
        <w:rPr>
          <w:rFonts w:ascii="Verdana" w:hAnsi="Verdana"/>
          <w:sz w:val="24"/>
          <w:szCs w:val="24"/>
        </w:rPr>
        <w:t xml:space="preserve">and detection of frauds. </w:t>
      </w:r>
      <w:r w:rsidR="00F22C00">
        <w:rPr>
          <w:rFonts w:ascii="Verdana" w:hAnsi="Verdana"/>
          <w:sz w:val="24"/>
          <w:szCs w:val="24"/>
        </w:rPr>
        <w:t xml:space="preserve"> </w:t>
      </w:r>
      <w:r w:rsidRPr="00BD4DDD">
        <w:rPr>
          <w:rFonts w:ascii="Verdana" w:hAnsi="Verdana"/>
          <w:sz w:val="24"/>
          <w:szCs w:val="24"/>
        </w:rPr>
        <w:t>UK organisations, within both the</w:t>
      </w:r>
      <w:r>
        <w:rPr>
          <w:rFonts w:ascii="Verdana" w:hAnsi="Verdana"/>
          <w:sz w:val="24"/>
          <w:szCs w:val="24"/>
        </w:rPr>
        <w:t xml:space="preserve"> </w:t>
      </w:r>
      <w:r w:rsidRPr="00BD4DDD">
        <w:rPr>
          <w:rFonts w:ascii="Verdana" w:hAnsi="Verdana"/>
          <w:sz w:val="24"/>
          <w:szCs w:val="24"/>
        </w:rPr>
        <w:t>public and private sectors, are able to collect data on fraudsters</w:t>
      </w:r>
      <w:r>
        <w:rPr>
          <w:rFonts w:ascii="Verdana" w:hAnsi="Verdana"/>
          <w:sz w:val="24"/>
          <w:szCs w:val="24"/>
        </w:rPr>
        <w:t xml:space="preserve"> </w:t>
      </w:r>
      <w:r w:rsidRPr="00BD4DDD">
        <w:rPr>
          <w:rFonts w:ascii="Verdana" w:hAnsi="Verdana"/>
          <w:sz w:val="24"/>
          <w:szCs w:val="24"/>
        </w:rPr>
        <w:t>and share their information.</w:t>
      </w:r>
      <w:r w:rsidR="007E59ED">
        <w:rPr>
          <w:rFonts w:ascii="Verdana" w:hAnsi="Verdana"/>
          <w:sz w:val="24"/>
          <w:szCs w:val="24"/>
        </w:rPr>
        <w:t xml:space="preserve"> </w:t>
      </w:r>
      <w:r w:rsidR="00F22C00">
        <w:rPr>
          <w:rFonts w:ascii="Verdana" w:hAnsi="Verdana"/>
          <w:sz w:val="24"/>
          <w:szCs w:val="24"/>
        </w:rPr>
        <w:t xml:space="preserve"> Due</w:t>
      </w:r>
      <w:r>
        <w:rPr>
          <w:rFonts w:ascii="Verdana" w:hAnsi="Verdana"/>
          <w:sz w:val="24"/>
          <w:szCs w:val="24"/>
        </w:rPr>
        <w:t xml:space="preserve"> consideration will need to take place on the nature of these relationships</w:t>
      </w:r>
      <w:r w:rsidR="006A4438">
        <w:rPr>
          <w:rFonts w:ascii="Verdana" w:hAnsi="Verdana"/>
          <w:sz w:val="24"/>
          <w:szCs w:val="24"/>
        </w:rPr>
        <w:t xml:space="preserve"> and protections in a post EU environment.</w:t>
      </w:r>
    </w:p>
    <w:p w:rsidR="006A4438" w:rsidRDefault="006A4438" w:rsidP="00BD4DDD">
      <w:pPr>
        <w:spacing w:after="0"/>
        <w:ind w:left="720" w:hanging="720"/>
        <w:jc w:val="both"/>
        <w:rPr>
          <w:rFonts w:ascii="Verdana" w:hAnsi="Verdana"/>
          <w:sz w:val="24"/>
          <w:szCs w:val="24"/>
        </w:rPr>
      </w:pPr>
    </w:p>
    <w:p w:rsidR="006A4438" w:rsidRPr="007E59ED" w:rsidRDefault="006A4438" w:rsidP="006A4438">
      <w:pPr>
        <w:spacing w:after="0"/>
        <w:ind w:left="720"/>
        <w:jc w:val="both"/>
        <w:rPr>
          <w:rFonts w:ascii="Verdana" w:hAnsi="Verdana"/>
          <w:b/>
          <w:sz w:val="24"/>
          <w:szCs w:val="24"/>
        </w:rPr>
      </w:pPr>
      <w:r w:rsidRPr="007E59ED">
        <w:rPr>
          <w:rFonts w:ascii="Verdana" w:hAnsi="Verdana"/>
          <w:b/>
          <w:sz w:val="24"/>
          <w:szCs w:val="24"/>
        </w:rPr>
        <w:t>Higher Education:</w:t>
      </w:r>
    </w:p>
    <w:p w:rsidR="006A4438" w:rsidRDefault="006A4438" w:rsidP="00BD4DDD">
      <w:pPr>
        <w:spacing w:after="0"/>
        <w:ind w:left="720" w:hanging="720"/>
        <w:jc w:val="both"/>
        <w:rPr>
          <w:rFonts w:ascii="Verdana" w:hAnsi="Verdana"/>
          <w:sz w:val="24"/>
          <w:szCs w:val="24"/>
        </w:rPr>
      </w:pPr>
    </w:p>
    <w:p w:rsidR="004339DB" w:rsidRDefault="006A4438" w:rsidP="00A67EDD">
      <w:pPr>
        <w:spacing w:after="0"/>
        <w:ind w:left="720" w:hanging="720"/>
        <w:jc w:val="both"/>
        <w:rPr>
          <w:rFonts w:ascii="Verdana" w:hAnsi="Verdana"/>
          <w:sz w:val="24"/>
          <w:szCs w:val="24"/>
        </w:rPr>
      </w:pPr>
      <w:r>
        <w:rPr>
          <w:rFonts w:ascii="Verdana" w:hAnsi="Verdana"/>
          <w:sz w:val="24"/>
          <w:szCs w:val="24"/>
        </w:rPr>
        <w:t>4.22</w:t>
      </w:r>
      <w:r>
        <w:rPr>
          <w:rFonts w:ascii="Verdana" w:hAnsi="Verdana"/>
          <w:sz w:val="24"/>
          <w:szCs w:val="24"/>
        </w:rPr>
        <w:tab/>
      </w:r>
      <w:r w:rsidR="00A67EDD">
        <w:rPr>
          <w:rFonts w:ascii="Verdana" w:hAnsi="Verdana"/>
          <w:sz w:val="24"/>
          <w:szCs w:val="24"/>
        </w:rPr>
        <w:t>Higher Education can be affected by EU withdrawal in two key ways.  Firstly, access to higher education for students from EU states and secondly through EU research funding.</w:t>
      </w:r>
    </w:p>
    <w:p w:rsidR="00A67EDD" w:rsidRDefault="00A67EDD" w:rsidP="006A4438">
      <w:pPr>
        <w:spacing w:after="0"/>
        <w:jc w:val="both"/>
        <w:rPr>
          <w:rFonts w:ascii="Verdana" w:hAnsi="Verdana"/>
          <w:sz w:val="24"/>
          <w:szCs w:val="24"/>
        </w:rPr>
      </w:pPr>
    </w:p>
    <w:p w:rsidR="00A67EDD" w:rsidRPr="00A67EDD" w:rsidRDefault="00A67EDD" w:rsidP="00A67EDD">
      <w:pPr>
        <w:spacing w:after="0"/>
        <w:ind w:left="720" w:hanging="720"/>
        <w:jc w:val="both"/>
        <w:rPr>
          <w:rFonts w:ascii="Verdana" w:hAnsi="Verdana"/>
          <w:sz w:val="24"/>
          <w:szCs w:val="24"/>
        </w:rPr>
      </w:pPr>
      <w:r>
        <w:rPr>
          <w:rFonts w:ascii="Verdana" w:hAnsi="Verdana"/>
          <w:sz w:val="24"/>
          <w:szCs w:val="24"/>
        </w:rPr>
        <w:t>4.23</w:t>
      </w:r>
      <w:r>
        <w:rPr>
          <w:rFonts w:ascii="Verdana" w:hAnsi="Verdana"/>
          <w:sz w:val="24"/>
          <w:szCs w:val="24"/>
        </w:rPr>
        <w:tab/>
      </w:r>
      <w:r w:rsidRPr="00A67EDD">
        <w:rPr>
          <w:rFonts w:ascii="Verdana" w:hAnsi="Verdana"/>
          <w:sz w:val="24"/>
          <w:szCs w:val="24"/>
        </w:rPr>
        <w:t>EU legislation means that students from an EU member state</w:t>
      </w:r>
      <w:r>
        <w:rPr>
          <w:rFonts w:ascii="Verdana" w:hAnsi="Verdana"/>
          <w:sz w:val="24"/>
          <w:szCs w:val="24"/>
        </w:rPr>
        <w:t xml:space="preserve"> </w:t>
      </w:r>
      <w:r w:rsidRPr="00A67EDD">
        <w:rPr>
          <w:rFonts w:ascii="Verdana" w:hAnsi="Verdana"/>
          <w:sz w:val="24"/>
          <w:szCs w:val="24"/>
        </w:rPr>
        <w:t xml:space="preserve">wishing </w:t>
      </w:r>
      <w:r>
        <w:rPr>
          <w:rFonts w:ascii="Verdana" w:hAnsi="Verdana"/>
          <w:sz w:val="24"/>
          <w:szCs w:val="24"/>
        </w:rPr>
        <w:t>t</w:t>
      </w:r>
      <w:r w:rsidRPr="00A67EDD">
        <w:rPr>
          <w:rFonts w:ascii="Verdana" w:hAnsi="Verdana"/>
          <w:sz w:val="24"/>
          <w:szCs w:val="24"/>
        </w:rPr>
        <w:t>o study in the UK have the same access to education</w:t>
      </w:r>
      <w:r>
        <w:rPr>
          <w:rFonts w:ascii="Verdana" w:hAnsi="Verdana"/>
          <w:sz w:val="24"/>
          <w:szCs w:val="24"/>
        </w:rPr>
        <w:t xml:space="preserve"> </w:t>
      </w:r>
      <w:r w:rsidRPr="00A67EDD">
        <w:rPr>
          <w:rFonts w:ascii="Verdana" w:hAnsi="Verdana"/>
          <w:sz w:val="24"/>
          <w:szCs w:val="24"/>
        </w:rPr>
        <w:t xml:space="preserve">as UK nationals. Therefore, currently eligible EU students </w:t>
      </w:r>
      <w:r>
        <w:rPr>
          <w:rFonts w:ascii="Verdana" w:hAnsi="Verdana"/>
          <w:sz w:val="24"/>
          <w:szCs w:val="24"/>
        </w:rPr>
        <w:t xml:space="preserve">in many cases </w:t>
      </w:r>
      <w:r w:rsidRPr="00A67EDD">
        <w:rPr>
          <w:rFonts w:ascii="Verdana" w:hAnsi="Verdana"/>
          <w:sz w:val="24"/>
          <w:szCs w:val="24"/>
        </w:rPr>
        <w:t>pay</w:t>
      </w:r>
      <w:r>
        <w:rPr>
          <w:rFonts w:ascii="Verdana" w:hAnsi="Verdana"/>
          <w:sz w:val="24"/>
          <w:szCs w:val="24"/>
        </w:rPr>
        <w:t xml:space="preserve"> </w:t>
      </w:r>
      <w:r w:rsidRPr="00A67EDD">
        <w:rPr>
          <w:rFonts w:ascii="Verdana" w:hAnsi="Verdana"/>
          <w:sz w:val="24"/>
          <w:szCs w:val="24"/>
        </w:rPr>
        <w:t>the same tuition fees as UK students and can apply for the</w:t>
      </w:r>
      <w:r>
        <w:rPr>
          <w:rFonts w:ascii="Verdana" w:hAnsi="Verdana"/>
          <w:sz w:val="24"/>
          <w:szCs w:val="24"/>
        </w:rPr>
        <w:t xml:space="preserve"> </w:t>
      </w:r>
      <w:r w:rsidRPr="00A67EDD">
        <w:rPr>
          <w:rFonts w:ascii="Verdana" w:hAnsi="Verdana"/>
          <w:sz w:val="24"/>
          <w:szCs w:val="24"/>
        </w:rPr>
        <w:t>same tuition fee support.</w:t>
      </w:r>
    </w:p>
    <w:p w:rsidR="00A67EDD" w:rsidRDefault="00A67EDD" w:rsidP="00A67EDD">
      <w:pPr>
        <w:spacing w:after="0"/>
        <w:jc w:val="both"/>
        <w:rPr>
          <w:rFonts w:ascii="Verdana" w:hAnsi="Verdana"/>
          <w:sz w:val="24"/>
          <w:szCs w:val="24"/>
        </w:rPr>
      </w:pPr>
    </w:p>
    <w:p w:rsidR="00A67EDD" w:rsidRDefault="00A67EDD" w:rsidP="00A67EDD">
      <w:pPr>
        <w:spacing w:after="0"/>
        <w:ind w:left="720" w:hanging="720"/>
        <w:jc w:val="both"/>
        <w:rPr>
          <w:rFonts w:ascii="Verdana" w:hAnsi="Verdana"/>
          <w:sz w:val="24"/>
          <w:szCs w:val="24"/>
        </w:rPr>
      </w:pPr>
      <w:r>
        <w:rPr>
          <w:rFonts w:ascii="Verdana" w:hAnsi="Verdana"/>
          <w:sz w:val="24"/>
          <w:szCs w:val="24"/>
        </w:rPr>
        <w:t>4.24</w:t>
      </w:r>
      <w:r>
        <w:rPr>
          <w:rFonts w:ascii="Verdana" w:hAnsi="Verdana"/>
          <w:sz w:val="24"/>
          <w:szCs w:val="24"/>
        </w:rPr>
        <w:tab/>
      </w:r>
      <w:r w:rsidRPr="00A67EDD">
        <w:rPr>
          <w:rFonts w:ascii="Verdana" w:hAnsi="Verdana"/>
          <w:sz w:val="24"/>
          <w:szCs w:val="24"/>
        </w:rPr>
        <w:t>In 2013/14, there were 125,300 EU students in UK universities,</w:t>
      </w:r>
      <w:r>
        <w:rPr>
          <w:rFonts w:ascii="Verdana" w:hAnsi="Verdana"/>
          <w:sz w:val="24"/>
          <w:szCs w:val="24"/>
        </w:rPr>
        <w:t xml:space="preserve"> </w:t>
      </w:r>
      <w:r w:rsidRPr="00A67EDD">
        <w:rPr>
          <w:rFonts w:ascii="Verdana" w:hAnsi="Verdana"/>
          <w:sz w:val="24"/>
          <w:szCs w:val="24"/>
        </w:rPr>
        <w:t>this accounted for 28.8% of non-UK students. This represents</w:t>
      </w:r>
      <w:r>
        <w:rPr>
          <w:rFonts w:ascii="Verdana" w:hAnsi="Verdana"/>
          <w:sz w:val="24"/>
          <w:szCs w:val="24"/>
        </w:rPr>
        <w:t xml:space="preserve"> </w:t>
      </w:r>
      <w:r w:rsidRPr="00A67EDD">
        <w:rPr>
          <w:rFonts w:ascii="Verdana" w:hAnsi="Verdana"/>
          <w:sz w:val="24"/>
          <w:szCs w:val="24"/>
        </w:rPr>
        <w:t>about 6% of total university enrolment in Britain and is</w:t>
      </w:r>
      <w:r>
        <w:rPr>
          <w:rFonts w:ascii="Verdana" w:hAnsi="Verdana"/>
          <w:sz w:val="24"/>
          <w:szCs w:val="24"/>
        </w:rPr>
        <w:t xml:space="preserve"> </w:t>
      </w:r>
      <w:r w:rsidRPr="00A67EDD">
        <w:rPr>
          <w:rFonts w:ascii="Verdana" w:hAnsi="Verdana"/>
          <w:sz w:val="24"/>
          <w:szCs w:val="24"/>
        </w:rPr>
        <w:t>estimated to generate £2.27bn for the UK economy and support</w:t>
      </w:r>
      <w:r>
        <w:rPr>
          <w:rFonts w:ascii="Verdana" w:hAnsi="Verdana"/>
          <w:sz w:val="24"/>
          <w:szCs w:val="24"/>
        </w:rPr>
        <w:t xml:space="preserve"> </w:t>
      </w:r>
      <w:r w:rsidRPr="00A67EDD">
        <w:rPr>
          <w:rFonts w:ascii="Verdana" w:hAnsi="Verdana"/>
          <w:sz w:val="24"/>
          <w:szCs w:val="24"/>
        </w:rPr>
        <w:t>up to 19,000 jobs.</w:t>
      </w:r>
      <w:r>
        <w:rPr>
          <w:rStyle w:val="FootnoteReference"/>
          <w:rFonts w:ascii="Verdana" w:hAnsi="Verdana"/>
          <w:sz w:val="24"/>
          <w:szCs w:val="24"/>
        </w:rPr>
        <w:footnoteReference w:id="23"/>
      </w:r>
    </w:p>
    <w:p w:rsidR="006A4438" w:rsidRDefault="006A4438" w:rsidP="006A4438">
      <w:pPr>
        <w:spacing w:after="0"/>
        <w:jc w:val="both"/>
        <w:rPr>
          <w:rFonts w:ascii="Verdana" w:hAnsi="Verdana"/>
          <w:sz w:val="24"/>
          <w:szCs w:val="24"/>
        </w:rPr>
      </w:pPr>
    </w:p>
    <w:p w:rsidR="00A67EDD" w:rsidRDefault="00A67EDD" w:rsidP="007E59ED">
      <w:pPr>
        <w:spacing w:after="0"/>
        <w:ind w:left="720" w:hanging="720"/>
        <w:jc w:val="both"/>
        <w:rPr>
          <w:rFonts w:ascii="Verdana" w:hAnsi="Verdana"/>
          <w:sz w:val="24"/>
          <w:szCs w:val="24"/>
        </w:rPr>
      </w:pPr>
      <w:r>
        <w:rPr>
          <w:rFonts w:ascii="Verdana" w:hAnsi="Verdana"/>
          <w:sz w:val="24"/>
          <w:szCs w:val="24"/>
        </w:rPr>
        <w:t>4.25</w:t>
      </w:r>
      <w:r>
        <w:rPr>
          <w:rFonts w:ascii="Verdana" w:hAnsi="Verdana"/>
          <w:sz w:val="24"/>
          <w:szCs w:val="24"/>
        </w:rPr>
        <w:tab/>
      </w:r>
      <w:r w:rsidRPr="00A67EDD">
        <w:rPr>
          <w:rFonts w:ascii="Verdana" w:hAnsi="Verdana"/>
          <w:sz w:val="24"/>
          <w:szCs w:val="24"/>
        </w:rPr>
        <w:t>The 2016 Times Higher Education European University</w:t>
      </w:r>
      <w:r>
        <w:rPr>
          <w:rFonts w:ascii="Verdana" w:hAnsi="Verdana"/>
          <w:sz w:val="24"/>
          <w:szCs w:val="24"/>
        </w:rPr>
        <w:t xml:space="preserve"> </w:t>
      </w:r>
      <w:r w:rsidRPr="00A67EDD">
        <w:rPr>
          <w:rFonts w:ascii="Verdana" w:hAnsi="Verdana"/>
          <w:sz w:val="24"/>
          <w:szCs w:val="24"/>
        </w:rPr>
        <w:t>Rankings, based on several factors to do with research, show</w:t>
      </w:r>
      <w:r>
        <w:rPr>
          <w:rFonts w:ascii="Verdana" w:hAnsi="Verdana"/>
          <w:sz w:val="24"/>
          <w:szCs w:val="24"/>
        </w:rPr>
        <w:t xml:space="preserve"> </w:t>
      </w:r>
      <w:r w:rsidRPr="00A67EDD">
        <w:rPr>
          <w:rFonts w:ascii="Verdana" w:hAnsi="Verdana"/>
          <w:sz w:val="24"/>
          <w:szCs w:val="24"/>
        </w:rPr>
        <w:t>UK universities are performing strongly.</w:t>
      </w:r>
      <w:r>
        <w:rPr>
          <w:rStyle w:val="FootnoteReference"/>
          <w:rFonts w:ascii="Verdana" w:hAnsi="Verdana"/>
          <w:sz w:val="24"/>
          <w:szCs w:val="24"/>
        </w:rPr>
        <w:footnoteReference w:id="24"/>
      </w:r>
      <w:r w:rsidRPr="00A67EDD">
        <w:rPr>
          <w:rFonts w:ascii="Verdana" w:hAnsi="Verdana"/>
          <w:sz w:val="24"/>
          <w:szCs w:val="24"/>
        </w:rPr>
        <w:t xml:space="preserve"> </w:t>
      </w:r>
      <w:r>
        <w:rPr>
          <w:rFonts w:ascii="Verdana" w:hAnsi="Verdana"/>
          <w:sz w:val="24"/>
          <w:szCs w:val="24"/>
        </w:rPr>
        <w:t xml:space="preserve"> </w:t>
      </w:r>
      <w:r w:rsidRPr="00A67EDD">
        <w:rPr>
          <w:rFonts w:ascii="Verdana" w:hAnsi="Verdana"/>
          <w:sz w:val="24"/>
          <w:szCs w:val="24"/>
        </w:rPr>
        <w:t>In the top 200</w:t>
      </w:r>
      <w:r>
        <w:rPr>
          <w:rFonts w:ascii="Verdana" w:hAnsi="Verdana"/>
          <w:sz w:val="24"/>
          <w:szCs w:val="24"/>
        </w:rPr>
        <w:t xml:space="preserve"> </w:t>
      </w:r>
      <w:r w:rsidRPr="00A67EDD">
        <w:rPr>
          <w:rFonts w:ascii="Verdana" w:hAnsi="Verdana"/>
          <w:sz w:val="24"/>
          <w:szCs w:val="24"/>
        </w:rPr>
        <w:t>universities in Europe, UK universities have nearly a quarter</w:t>
      </w:r>
      <w:r w:rsidR="007E59ED">
        <w:rPr>
          <w:rFonts w:ascii="Verdana" w:hAnsi="Verdana"/>
          <w:sz w:val="24"/>
          <w:szCs w:val="24"/>
        </w:rPr>
        <w:t xml:space="preserve"> </w:t>
      </w:r>
      <w:r w:rsidRPr="00A67EDD">
        <w:rPr>
          <w:rFonts w:ascii="Verdana" w:hAnsi="Verdana"/>
          <w:sz w:val="24"/>
          <w:szCs w:val="24"/>
        </w:rPr>
        <w:t>of places (46) and seven of the top ten places. As a result, the</w:t>
      </w:r>
      <w:r w:rsidR="007E59ED">
        <w:rPr>
          <w:rFonts w:ascii="Verdana" w:hAnsi="Verdana"/>
          <w:sz w:val="24"/>
          <w:szCs w:val="24"/>
        </w:rPr>
        <w:t xml:space="preserve"> </w:t>
      </w:r>
      <w:r w:rsidRPr="00A67EDD">
        <w:rPr>
          <w:rFonts w:ascii="Verdana" w:hAnsi="Verdana"/>
          <w:sz w:val="24"/>
          <w:szCs w:val="24"/>
        </w:rPr>
        <w:t>UK does well out of EU research funding based on scientific</w:t>
      </w:r>
      <w:r w:rsidR="007E59ED">
        <w:rPr>
          <w:rFonts w:ascii="Verdana" w:hAnsi="Verdana"/>
          <w:sz w:val="24"/>
          <w:szCs w:val="24"/>
        </w:rPr>
        <w:t xml:space="preserve"> </w:t>
      </w:r>
      <w:r w:rsidRPr="00A67EDD">
        <w:rPr>
          <w:rFonts w:ascii="Verdana" w:hAnsi="Verdana"/>
          <w:sz w:val="24"/>
          <w:szCs w:val="24"/>
        </w:rPr>
        <w:t>excellence.</w:t>
      </w:r>
    </w:p>
    <w:p w:rsidR="007E59ED" w:rsidRPr="00A67EDD" w:rsidRDefault="007E59ED" w:rsidP="007E59ED">
      <w:pPr>
        <w:spacing w:after="0"/>
        <w:ind w:left="720" w:hanging="720"/>
        <w:jc w:val="both"/>
        <w:rPr>
          <w:rFonts w:ascii="Verdana" w:hAnsi="Verdana"/>
          <w:sz w:val="24"/>
          <w:szCs w:val="24"/>
        </w:rPr>
      </w:pPr>
    </w:p>
    <w:p w:rsidR="00A67EDD" w:rsidRDefault="007E59ED" w:rsidP="00F22C00">
      <w:pPr>
        <w:spacing w:after="0"/>
        <w:ind w:left="720" w:hanging="720"/>
        <w:jc w:val="both"/>
        <w:rPr>
          <w:rFonts w:ascii="Verdana" w:hAnsi="Verdana"/>
          <w:sz w:val="24"/>
          <w:szCs w:val="24"/>
        </w:rPr>
      </w:pPr>
      <w:r>
        <w:rPr>
          <w:rFonts w:ascii="Verdana" w:hAnsi="Verdana"/>
          <w:sz w:val="24"/>
          <w:szCs w:val="24"/>
        </w:rPr>
        <w:t>4.26</w:t>
      </w:r>
      <w:r>
        <w:rPr>
          <w:rFonts w:ascii="Verdana" w:hAnsi="Verdana"/>
          <w:sz w:val="24"/>
          <w:szCs w:val="24"/>
        </w:rPr>
        <w:tab/>
      </w:r>
      <w:r w:rsidR="00A67EDD" w:rsidRPr="00A67EDD">
        <w:rPr>
          <w:rFonts w:ascii="Verdana" w:hAnsi="Verdana"/>
          <w:sz w:val="24"/>
          <w:szCs w:val="24"/>
        </w:rPr>
        <w:t>The UK is one of the largest recipients of research funding in the</w:t>
      </w:r>
      <w:r w:rsidR="00F22C00">
        <w:rPr>
          <w:rFonts w:ascii="Verdana" w:hAnsi="Verdana"/>
          <w:sz w:val="24"/>
          <w:szCs w:val="24"/>
        </w:rPr>
        <w:t xml:space="preserve"> </w:t>
      </w:r>
      <w:r w:rsidR="00A67EDD" w:rsidRPr="00A67EDD">
        <w:rPr>
          <w:rFonts w:ascii="Verdana" w:hAnsi="Verdana"/>
          <w:sz w:val="24"/>
          <w:szCs w:val="24"/>
        </w:rPr>
        <w:t xml:space="preserve">EU. </w:t>
      </w:r>
      <w:r>
        <w:rPr>
          <w:rFonts w:ascii="Verdana" w:hAnsi="Verdana"/>
          <w:sz w:val="24"/>
          <w:szCs w:val="24"/>
        </w:rPr>
        <w:t xml:space="preserve"> </w:t>
      </w:r>
      <w:r w:rsidR="00A67EDD" w:rsidRPr="00A67EDD">
        <w:rPr>
          <w:rFonts w:ascii="Verdana" w:hAnsi="Verdana"/>
          <w:sz w:val="24"/>
          <w:szCs w:val="24"/>
        </w:rPr>
        <w:t>National contributions to the EU budget are not itemised,</w:t>
      </w:r>
      <w:r>
        <w:rPr>
          <w:rFonts w:ascii="Verdana" w:hAnsi="Verdana"/>
          <w:sz w:val="24"/>
          <w:szCs w:val="24"/>
        </w:rPr>
        <w:t xml:space="preserve"> </w:t>
      </w:r>
      <w:r w:rsidR="00A67EDD" w:rsidRPr="00A67EDD">
        <w:rPr>
          <w:rFonts w:ascii="Verdana" w:hAnsi="Verdana"/>
          <w:sz w:val="24"/>
          <w:szCs w:val="24"/>
        </w:rPr>
        <w:t>but the UK Office of National Statistics (ONS) indicative figure</w:t>
      </w:r>
      <w:r>
        <w:rPr>
          <w:rFonts w:ascii="Verdana" w:hAnsi="Verdana"/>
          <w:sz w:val="24"/>
          <w:szCs w:val="24"/>
        </w:rPr>
        <w:t xml:space="preserve"> </w:t>
      </w:r>
      <w:r w:rsidR="00A67EDD" w:rsidRPr="00A67EDD">
        <w:rPr>
          <w:rFonts w:ascii="Verdana" w:hAnsi="Verdana"/>
          <w:sz w:val="24"/>
          <w:szCs w:val="24"/>
        </w:rPr>
        <w:t>for the UK’s contribution to EU research and development from</w:t>
      </w:r>
      <w:r>
        <w:rPr>
          <w:rFonts w:ascii="Verdana" w:hAnsi="Verdana"/>
          <w:sz w:val="24"/>
          <w:szCs w:val="24"/>
        </w:rPr>
        <w:t xml:space="preserve"> </w:t>
      </w:r>
      <w:r w:rsidR="00A67EDD" w:rsidRPr="00A67EDD">
        <w:rPr>
          <w:rFonts w:ascii="Verdana" w:hAnsi="Verdana"/>
          <w:sz w:val="24"/>
          <w:szCs w:val="24"/>
        </w:rPr>
        <w:t>2007 – 2013 was €5.4bn.</w:t>
      </w:r>
      <w:r>
        <w:rPr>
          <w:rStyle w:val="FootnoteReference"/>
          <w:rFonts w:ascii="Verdana" w:hAnsi="Verdana"/>
          <w:sz w:val="24"/>
          <w:szCs w:val="24"/>
        </w:rPr>
        <w:footnoteReference w:id="25"/>
      </w:r>
      <w:r>
        <w:rPr>
          <w:rFonts w:ascii="Verdana" w:hAnsi="Verdana"/>
          <w:sz w:val="24"/>
          <w:szCs w:val="24"/>
        </w:rPr>
        <w:t xml:space="preserve">  </w:t>
      </w:r>
      <w:r w:rsidR="00A67EDD" w:rsidRPr="00A67EDD">
        <w:rPr>
          <w:rFonts w:ascii="Verdana" w:hAnsi="Verdana"/>
          <w:sz w:val="24"/>
          <w:szCs w:val="24"/>
        </w:rPr>
        <w:t>During this time, the UK received €8.8bn - €6.9bn of Framework</w:t>
      </w:r>
      <w:r>
        <w:rPr>
          <w:rFonts w:ascii="Verdana" w:hAnsi="Verdana"/>
          <w:sz w:val="24"/>
          <w:szCs w:val="24"/>
        </w:rPr>
        <w:t xml:space="preserve"> </w:t>
      </w:r>
      <w:r w:rsidR="00A67EDD" w:rsidRPr="00A67EDD">
        <w:rPr>
          <w:rFonts w:ascii="Verdana" w:hAnsi="Verdana"/>
          <w:sz w:val="24"/>
          <w:szCs w:val="24"/>
        </w:rPr>
        <w:t>Programme 7 (FP7) and €1.9bn of structural funds for research</w:t>
      </w:r>
      <w:r w:rsidR="00A67EDD">
        <w:rPr>
          <w:rFonts w:ascii="Verdana" w:hAnsi="Verdana"/>
          <w:sz w:val="24"/>
          <w:szCs w:val="24"/>
        </w:rPr>
        <w:t xml:space="preserve"> </w:t>
      </w:r>
      <w:r w:rsidR="00A67EDD" w:rsidRPr="00A67EDD">
        <w:rPr>
          <w:rFonts w:ascii="Verdana" w:hAnsi="Verdana"/>
          <w:sz w:val="24"/>
          <w:szCs w:val="24"/>
        </w:rPr>
        <w:t>and innovation activities. This represents the fourth largest</w:t>
      </w:r>
      <w:r>
        <w:rPr>
          <w:rFonts w:ascii="Verdana" w:hAnsi="Verdana"/>
          <w:sz w:val="24"/>
          <w:szCs w:val="24"/>
        </w:rPr>
        <w:t xml:space="preserve"> </w:t>
      </w:r>
      <w:r w:rsidR="00A67EDD" w:rsidRPr="00A67EDD">
        <w:rPr>
          <w:rFonts w:ascii="Verdana" w:hAnsi="Verdana"/>
          <w:sz w:val="24"/>
          <w:szCs w:val="24"/>
        </w:rPr>
        <w:t xml:space="preserve">share in the EU. </w:t>
      </w:r>
      <w:r>
        <w:rPr>
          <w:rFonts w:ascii="Verdana" w:hAnsi="Verdana"/>
          <w:sz w:val="24"/>
          <w:szCs w:val="24"/>
        </w:rPr>
        <w:t xml:space="preserve"> </w:t>
      </w:r>
      <w:r w:rsidR="00A67EDD" w:rsidRPr="00A67EDD">
        <w:rPr>
          <w:rFonts w:ascii="Verdana" w:hAnsi="Verdana"/>
          <w:sz w:val="24"/>
          <w:szCs w:val="24"/>
        </w:rPr>
        <w:t>In terms of funding awarded on a competitive</w:t>
      </w:r>
      <w:r>
        <w:rPr>
          <w:rFonts w:ascii="Verdana" w:hAnsi="Verdana"/>
          <w:sz w:val="24"/>
          <w:szCs w:val="24"/>
        </w:rPr>
        <w:t xml:space="preserve"> </w:t>
      </w:r>
      <w:r w:rsidR="00A67EDD" w:rsidRPr="00A67EDD">
        <w:rPr>
          <w:rFonts w:ascii="Verdana" w:hAnsi="Verdana"/>
          <w:sz w:val="24"/>
          <w:szCs w:val="24"/>
        </w:rPr>
        <w:t>basis in the period 2007 – 2013 (Framework Programme 7), the</w:t>
      </w:r>
      <w:r>
        <w:rPr>
          <w:rFonts w:ascii="Verdana" w:hAnsi="Verdana"/>
          <w:sz w:val="24"/>
          <w:szCs w:val="24"/>
        </w:rPr>
        <w:t xml:space="preserve"> </w:t>
      </w:r>
      <w:r w:rsidR="00A67EDD" w:rsidRPr="00A67EDD">
        <w:rPr>
          <w:rFonts w:ascii="Verdana" w:hAnsi="Verdana"/>
          <w:sz w:val="24"/>
          <w:szCs w:val="24"/>
        </w:rPr>
        <w:t>UK was the second largest recipient after Germany.</w:t>
      </w:r>
    </w:p>
    <w:p w:rsidR="007E59ED" w:rsidRPr="00A67EDD" w:rsidRDefault="007E59ED" w:rsidP="007E59ED">
      <w:pPr>
        <w:spacing w:after="0"/>
        <w:ind w:left="720"/>
        <w:jc w:val="both"/>
        <w:rPr>
          <w:rFonts w:ascii="Verdana" w:hAnsi="Verdana"/>
          <w:sz w:val="24"/>
          <w:szCs w:val="24"/>
        </w:rPr>
      </w:pPr>
    </w:p>
    <w:p w:rsidR="006A4438" w:rsidRDefault="007E59ED" w:rsidP="007E59ED">
      <w:pPr>
        <w:spacing w:after="0"/>
        <w:ind w:left="720" w:hanging="720"/>
        <w:jc w:val="both"/>
        <w:rPr>
          <w:rFonts w:ascii="Verdana" w:hAnsi="Verdana"/>
          <w:sz w:val="24"/>
          <w:szCs w:val="24"/>
        </w:rPr>
      </w:pPr>
      <w:r>
        <w:rPr>
          <w:rFonts w:ascii="Verdana" w:hAnsi="Verdana"/>
          <w:sz w:val="24"/>
          <w:szCs w:val="24"/>
        </w:rPr>
        <w:lastRenderedPageBreak/>
        <w:t>4.27</w:t>
      </w:r>
      <w:r>
        <w:rPr>
          <w:rFonts w:ascii="Verdana" w:hAnsi="Verdana"/>
          <w:sz w:val="24"/>
          <w:szCs w:val="24"/>
        </w:rPr>
        <w:tab/>
      </w:r>
      <w:r w:rsidR="00A67EDD" w:rsidRPr="00A67EDD">
        <w:rPr>
          <w:rFonts w:ascii="Verdana" w:hAnsi="Verdana"/>
          <w:sz w:val="24"/>
          <w:szCs w:val="24"/>
        </w:rPr>
        <w:t>EU support also expands the UK’s research activity through</w:t>
      </w:r>
      <w:r>
        <w:rPr>
          <w:rFonts w:ascii="Verdana" w:hAnsi="Verdana"/>
          <w:sz w:val="24"/>
          <w:szCs w:val="24"/>
        </w:rPr>
        <w:t xml:space="preserve"> </w:t>
      </w:r>
      <w:r w:rsidR="00A67EDD" w:rsidRPr="00A67EDD">
        <w:rPr>
          <w:rFonts w:ascii="Verdana" w:hAnsi="Verdana"/>
          <w:sz w:val="24"/>
          <w:szCs w:val="24"/>
        </w:rPr>
        <w:t>promoting international collaboration and UK universities work</w:t>
      </w:r>
      <w:r>
        <w:rPr>
          <w:rFonts w:ascii="Verdana" w:hAnsi="Verdana"/>
          <w:sz w:val="24"/>
          <w:szCs w:val="24"/>
        </w:rPr>
        <w:t xml:space="preserve"> </w:t>
      </w:r>
      <w:r w:rsidR="00A67EDD" w:rsidRPr="00A67EDD">
        <w:rPr>
          <w:rFonts w:ascii="Verdana" w:hAnsi="Verdana"/>
          <w:sz w:val="24"/>
          <w:szCs w:val="24"/>
        </w:rPr>
        <w:t xml:space="preserve">closely with EU partners. </w:t>
      </w:r>
      <w:r>
        <w:rPr>
          <w:rFonts w:ascii="Verdana" w:hAnsi="Verdana"/>
          <w:sz w:val="24"/>
          <w:szCs w:val="24"/>
        </w:rPr>
        <w:t xml:space="preserve"> </w:t>
      </w:r>
      <w:r w:rsidR="00A67EDD" w:rsidRPr="00A67EDD">
        <w:rPr>
          <w:rFonts w:ascii="Verdana" w:hAnsi="Verdana"/>
          <w:sz w:val="24"/>
          <w:szCs w:val="24"/>
        </w:rPr>
        <w:t>The Horizon 2020 programme is an</w:t>
      </w:r>
      <w:r>
        <w:rPr>
          <w:rFonts w:ascii="Verdana" w:hAnsi="Verdana"/>
          <w:sz w:val="24"/>
          <w:szCs w:val="24"/>
        </w:rPr>
        <w:t xml:space="preserve"> </w:t>
      </w:r>
      <w:r w:rsidR="00A67EDD" w:rsidRPr="00A67EDD">
        <w:rPr>
          <w:rFonts w:ascii="Verdana" w:hAnsi="Verdana"/>
          <w:sz w:val="24"/>
          <w:szCs w:val="24"/>
        </w:rPr>
        <w:t xml:space="preserve">example of this. </w:t>
      </w:r>
      <w:r>
        <w:rPr>
          <w:rFonts w:ascii="Verdana" w:hAnsi="Verdana"/>
          <w:sz w:val="24"/>
          <w:szCs w:val="24"/>
        </w:rPr>
        <w:t xml:space="preserve"> </w:t>
      </w:r>
      <w:r w:rsidR="00A67EDD" w:rsidRPr="00A67EDD">
        <w:rPr>
          <w:rFonts w:ascii="Verdana" w:hAnsi="Verdana"/>
          <w:sz w:val="24"/>
          <w:szCs w:val="24"/>
        </w:rPr>
        <w:t>The programme is the largest ever European</w:t>
      </w:r>
      <w:r>
        <w:rPr>
          <w:rFonts w:ascii="Verdana" w:hAnsi="Verdana"/>
          <w:sz w:val="24"/>
          <w:szCs w:val="24"/>
        </w:rPr>
        <w:t xml:space="preserve"> </w:t>
      </w:r>
      <w:r w:rsidR="00A67EDD" w:rsidRPr="00A67EDD">
        <w:rPr>
          <w:rFonts w:ascii="Verdana" w:hAnsi="Verdana"/>
          <w:sz w:val="24"/>
          <w:szCs w:val="24"/>
        </w:rPr>
        <w:t xml:space="preserve">funding programme for research and innovation. </w:t>
      </w:r>
      <w:r>
        <w:rPr>
          <w:rFonts w:ascii="Verdana" w:hAnsi="Verdana"/>
          <w:sz w:val="24"/>
          <w:szCs w:val="24"/>
        </w:rPr>
        <w:t xml:space="preserve"> </w:t>
      </w:r>
      <w:r w:rsidR="00A67EDD" w:rsidRPr="00A67EDD">
        <w:rPr>
          <w:rFonts w:ascii="Verdana" w:hAnsi="Verdana"/>
          <w:sz w:val="24"/>
          <w:szCs w:val="24"/>
        </w:rPr>
        <w:t>It has a grant</w:t>
      </w:r>
      <w:r>
        <w:rPr>
          <w:rFonts w:ascii="Verdana" w:hAnsi="Verdana"/>
          <w:sz w:val="24"/>
          <w:szCs w:val="24"/>
        </w:rPr>
        <w:t xml:space="preserve"> </w:t>
      </w:r>
      <w:r w:rsidR="00A67EDD" w:rsidRPr="00A67EDD">
        <w:rPr>
          <w:rFonts w:ascii="Verdana" w:hAnsi="Verdana"/>
          <w:sz w:val="24"/>
          <w:szCs w:val="24"/>
        </w:rPr>
        <w:t>budget of €79bn and will run until 2020.</w:t>
      </w:r>
      <w:r>
        <w:rPr>
          <w:rStyle w:val="FootnoteReference"/>
          <w:rFonts w:ascii="Verdana" w:hAnsi="Verdana"/>
          <w:sz w:val="24"/>
          <w:szCs w:val="24"/>
        </w:rPr>
        <w:footnoteReference w:id="26"/>
      </w:r>
      <w:r>
        <w:rPr>
          <w:rFonts w:ascii="Verdana" w:hAnsi="Verdana"/>
          <w:sz w:val="24"/>
          <w:szCs w:val="24"/>
        </w:rPr>
        <w:t xml:space="preserve"> </w:t>
      </w:r>
      <w:r w:rsidR="00A67EDD" w:rsidRPr="00A67EDD">
        <w:rPr>
          <w:rFonts w:ascii="Verdana" w:hAnsi="Verdana"/>
          <w:sz w:val="24"/>
          <w:szCs w:val="24"/>
        </w:rPr>
        <w:t xml:space="preserve"> UK universities are</w:t>
      </w:r>
      <w:r>
        <w:rPr>
          <w:rFonts w:ascii="Verdana" w:hAnsi="Verdana"/>
          <w:sz w:val="24"/>
          <w:szCs w:val="24"/>
        </w:rPr>
        <w:t xml:space="preserve"> </w:t>
      </w:r>
      <w:r w:rsidR="00A67EDD" w:rsidRPr="00A67EDD">
        <w:rPr>
          <w:rFonts w:ascii="Verdana" w:hAnsi="Verdana"/>
          <w:sz w:val="24"/>
          <w:szCs w:val="24"/>
        </w:rPr>
        <w:t>coordinating one-third of the projects funded by Horizon 2020</w:t>
      </w:r>
      <w:r>
        <w:rPr>
          <w:rFonts w:ascii="Verdana" w:hAnsi="Verdana"/>
          <w:sz w:val="24"/>
          <w:szCs w:val="24"/>
        </w:rPr>
        <w:t xml:space="preserve"> </w:t>
      </w:r>
      <w:r w:rsidR="00A67EDD" w:rsidRPr="00A67EDD">
        <w:rPr>
          <w:rFonts w:ascii="Verdana" w:hAnsi="Verdana"/>
          <w:sz w:val="24"/>
          <w:szCs w:val="24"/>
        </w:rPr>
        <w:t>for 2014/20.</w:t>
      </w:r>
    </w:p>
    <w:p w:rsidR="006A4438" w:rsidRDefault="006A4438" w:rsidP="006A4438">
      <w:pPr>
        <w:spacing w:after="0"/>
        <w:jc w:val="both"/>
        <w:rPr>
          <w:rFonts w:ascii="Verdana" w:hAnsi="Verdana"/>
          <w:sz w:val="24"/>
          <w:szCs w:val="24"/>
        </w:rPr>
      </w:pPr>
    </w:p>
    <w:p w:rsidR="00D35383" w:rsidRPr="007534E7" w:rsidRDefault="00D35383" w:rsidP="003759FD">
      <w:pPr>
        <w:spacing w:after="0"/>
        <w:ind w:left="720" w:hanging="720"/>
        <w:jc w:val="both"/>
        <w:rPr>
          <w:rFonts w:ascii="Verdana" w:hAnsi="Verdana"/>
          <w:b/>
          <w:sz w:val="24"/>
          <w:szCs w:val="24"/>
        </w:rPr>
      </w:pPr>
      <w:r w:rsidRPr="007534E7">
        <w:rPr>
          <w:rFonts w:ascii="Verdana" w:hAnsi="Verdana"/>
          <w:b/>
          <w:sz w:val="24"/>
          <w:szCs w:val="24"/>
        </w:rPr>
        <w:t>5.</w:t>
      </w:r>
      <w:r w:rsidRPr="007534E7">
        <w:rPr>
          <w:rFonts w:ascii="Verdana" w:hAnsi="Verdana"/>
          <w:b/>
          <w:sz w:val="24"/>
          <w:szCs w:val="24"/>
        </w:rPr>
        <w:tab/>
        <w:t>Conclusions</w:t>
      </w:r>
    </w:p>
    <w:p w:rsidR="00D35383" w:rsidRDefault="00D35383" w:rsidP="003759FD">
      <w:pPr>
        <w:spacing w:after="0"/>
        <w:ind w:left="720" w:hanging="720"/>
        <w:jc w:val="both"/>
        <w:rPr>
          <w:rFonts w:ascii="Verdana" w:hAnsi="Verdana"/>
          <w:sz w:val="24"/>
          <w:szCs w:val="24"/>
        </w:rPr>
      </w:pPr>
    </w:p>
    <w:p w:rsidR="00D35383" w:rsidRDefault="007534E7" w:rsidP="003759FD">
      <w:pPr>
        <w:spacing w:after="0"/>
        <w:ind w:left="720" w:hanging="720"/>
        <w:jc w:val="both"/>
        <w:rPr>
          <w:rFonts w:ascii="Verdana" w:hAnsi="Verdana"/>
          <w:sz w:val="24"/>
          <w:szCs w:val="24"/>
        </w:rPr>
      </w:pPr>
      <w:r>
        <w:rPr>
          <w:rFonts w:ascii="Verdana" w:hAnsi="Verdana"/>
          <w:sz w:val="24"/>
          <w:szCs w:val="24"/>
        </w:rPr>
        <w:t>5.1</w:t>
      </w:r>
      <w:r>
        <w:rPr>
          <w:rFonts w:ascii="Verdana" w:hAnsi="Verdana"/>
          <w:sz w:val="24"/>
          <w:szCs w:val="24"/>
        </w:rPr>
        <w:tab/>
        <w:t>It is clear from the research completed that many aspects of the governance of public services and the public purse are linked to the UK’s membership of the EU.  The conclusion is that withdrawal from the EU will require careful consideration of the impacts on public service management, delivery and procurement and funding.</w:t>
      </w:r>
    </w:p>
    <w:p w:rsidR="007534E7" w:rsidRDefault="007534E7" w:rsidP="003759FD">
      <w:pPr>
        <w:spacing w:after="0"/>
        <w:ind w:left="720" w:hanging="720"/>
        <w:jc w:val="both"/>
        <w:rPr>
          <w:rFonts w:ascii="Verdana" w:hAnsi="Verdana"/>
          <w:sz w:val="24"/>
          <w:szCs w:val="24"/>
        </w:rPr>
      </w:pPr>
    </w:p>
    <w:p w:rsidR="007534E7" w:rsidRDefault="007534E7" w:rsidP="003759FD">
      <w:pPr>
        <w:spacing w:after="0"/>
        <w:ind w:left="720" w:hanging="720"/>
        <w:jc w:val="both"/>
        <w:rPr>
          <w:rFonts w:ascii="Verdana" w:hAnsi="Verdana"/>
          <w:sz w:val="24"/>
          <w:szCs w:val="24"/>
        </w:rPr>
      </w:pPr>
      <w:r>
        <w:rPr>
          <w:rFonts w:ascii="Verdana" w:hAnsi="Verdana"/>
          <w:sz w:val="24"/>
          <w:szCs w:val="24"/>
        </w:rPr>
        <w:t>5.2</w:t>
      </w:r>
      <w:r>
        <w:rPr>
          <w:rFonts w:ascii="Verdana" w:hAnsi="Verdana"/>
          <w:sz w:val="24"/>
          <w:szCs w:val="24"/>
        </w:rPr>
        <w:tab/>
      </w:r>
      <w:r w:rsidR="00395C5C">
        <w:rPr>
          <w:rFonts w:ascii="Verdana" w:hAnsi="Verdana"/>
          <w:sz w:val="24"/>
          <w:szCs w:val="24"/>
        </w:rPr>
        <w:t>CIPFA supports the committee in its work to identify the implications of the referendum result for Scotland.  CIPFA would urge the committee to consider the far reaching issues that could affect public services and how those services are maintained and supported post any exit from the EU.</w:t>
      </w:r>
    </w:p>
    <w:p w:rsidR="007534E7" w:rsidRDefault="007534E7" w:rsidP="003759FD">
      <w:pPr>
        <w:spacing w:after="0"/>
        <w:ind w:left="720" w:hanging="720"/>
        <w:jc w:val="both"/>
        <w:rPr>
          <w:rFonts w:ascii="Verdana" w:hAnsi="Verdana"/>
          <w:sz w:val="24"/>
          <w:szCs w:val="24"/>
        </w:rPr>
      </w:pPr>
    </w:p>
    <w:p w:rsidR="007534E7" w:rsidRPr="003759FD" w:rsidRDefault="007534E7" w:rsidP="003759FD">
      <w:pPr>
        <w:spacing w:after="0"/>
        <w:ind w:left="720" w:hanging="720"/>
        <w:jc w:val="both"/>
        <w:rPr>
          <w:rFonts w:ascii="Verdana" w:hAnsi="Verdana"/>
          <w:sz w:val="24"/>
          <w:szCs w:val="24"/>
        </w:rPr>
      </w:pPr>
    </w:p>
    <w:sectPr w:rsidR="007534E7" w:rsidRPr="003759FD" w:rsidSect="004466A9">
      <w:footerReference w:type="default" r:id="rId19"/>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88" w:rsidRDefault="00AA1D88" w:rsidP="00707196">
      <w:pPr>
        <w:spacing w:after="0" w:line="240" w:lineRule="auto"/>
      </w:pPr>
      <w:r>
        <w:separator/>
      </w:r>
    </w:p>
  </w:endnote>
  <w:endnote w:type="continuationSeparator" w:id="0">
    <w:p w:rsidR="00AA1D88" w:rsidRDefault="00AA1D88" w:rsidP="0070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ynulliad Sans">
    <w:altName w:val="Corbel"/>
    <w:charset w:val="00"/>
    <w:family w:val="swiss"/>
    <w:pitch w:val="variable"/>
    <w:sig w:usb0="00000001" w:usb1="4000205B" w:usb2="00000000" w:usb3="00000000" w:csb0="0000009B"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FS Lola">
    <w:altName w:val="FS Lola"/>
    <w:panose1 w:val="00000000000000000000"/>
    <w:charset w:val="00"/>
    <w:family w:val="roman"/>
    <w:notTrueType/>
    <w:pitch w:val="default"/>
    <w:sig w:usb0="00000003" w:usb1="00000000" w:usb2="00000000" w:usb3="00000000" w:csb0="00000001" w:csb1="00000000"/>
  </w:font>
  <w:font w:name="FS Lola ExtraBold">
    <w:altName w:val="FS Lola Extra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9" w:rsidRDefault="004466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9" w:rsidRDefault="004466A9">
    <w:pPr>
      <w:pStyle w:val="Footer"/>
      <w:jc w:val="center"/>
    </w:pPr>
  </w:p>
  <w:p w:rsidR="004466A9" w:rsidRDefault="004466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527695"/>
      <w:docPartObj>
        <w:docPartGallery w:val="Page Numbers (Bottom of Page)"/>
        <w:docPartUnique/>
      </w:docPartObj>
    </w:sdtPr>
    <w:sdtEndPr>
      <w:rPr>
        <w:noProof/>
      </w:rPr>
    </w:sdtEndPr>
    <w:sdtContent>
      <w:p w:rsidR="004466A9" w:rsidRDefault="004466A9">
        <w:pPr>
          <w:pStyle w:val="Footer"/>
          <w:jc w:val="center"/>
        </w:pPr>
        <w:r>
          <w:fldChar w:fldCharType="begin"/>
        </w:r>
        <w:r>
          <w:instrText xml:space="preserve"> PAGE   \* MERGEFORMAT </w:instrText>
        </w:r>
        <w:r>
          <w:fldChar w:fldCharType="separate"/>
        </w:r>
        <w:r w:rsidR="00490D8F">
          <w:rPr>
            <w:noProof/>
          </w:rPr>
          <w:t>1</w:t>
        </w:r>
        <w:r>
          <w:rPr>
            <w:noProof/>
          </w:rPr>
          <w:fldChar w:fldCharType="end"/>
        </w:r>
      </w:p>
    </w:sdtContent>
  </w:sdt>
  <w:p w:rsidR="004466A9" w:rsidRDefault="004466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105837"/>
      <w:docPartObj>
        <w:docPartGallery w:val="Page Numbers (Bottom of Page)"/>
        <w:docPartUnique/>
      </w:docPartObj>
    </w:sdtPr>
    <w:sdtEndPr>
      <w:rPr>
        <w:noProof/>
      </w:rPr>
    </w:sdtEndPr>
    <w:sdtContent>
      <w:p w:rsidR="004466A9" w:rsidRDefault="004466A9">
        <w:pPr>
          <w:pStyle w:val="Footer"/>
          <w:jc w:val="center"/>
        </w:pPr>
        <w:r>
          <w:fldChar w:fldCharType="begin"/>
        </w:r>
        <w:r>
          <w:instrText xml:space="preserve"> PAGE   \* MERGEFORMAT </w:instrText>
        </w:r>
        <w:r>
          <w:fldChar w:fldCharType="separate"/>
        </w:r>
        <w:r w:rsidR="00490D8F">
          <w:rPr>
            <w:noProof/>
          </w:rPr>
          <w:t>2</w:t>
        </w:r>
        <w:r>
          <w:rPr>
            <w:noProof/>
          </w:rPr>
          <w:fldChar w:fldCharType="end"/>
        </w:r>
      </w:p>
    </w:sdtContent>
  </w:sdt>
  <w:p w:rsidR="004466A9" w:rsidRDefault="00446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88" w:rsidRDefault="00AA1D88" w:rsidP="00707196">
      <w:pPr>
        <w:spacing w:after="0" w:line="240" w:lineRule="auto"/>
      </w:pPr>
      <w:r>
        <w:separator/>
      </w:r>
    </w:p>
  </w:footnote>
  <w:footnote w:type="continuationSeparator" w:id="0">
    <w:p w:rsidR="00AA1D88" w:rsidRDefault="00AA1D88" w:rsidP="00707196">
      <w:pPr>
        <w:spacing w:after="0" w:line="240" w:lineRule="auto"/>
      </w:pPr>
      <w:r>
        <w:continuationSeparator/>
      </w:r>
    </w:p>
  </w:footnote>
  <w:footnote w:id="1">
    <w:p w:rsidR="00EC5BDE" w:rsidRDefault="00EC5BDE">
      <w:pPr>
        <w:pStyle w:val="FootnoteText"/>
      </w:pPr>
      <w:r>
        <w:rPr>
          <w:rStyle w:val="FootnoteReference"/>
        </w:rPr>
        <w:footnoteRef/>
      </w:r>
      <w:r>
        <w:t xml:space="preserve"> CIPFA commissioned Coyne Research to speak to senior public services leaders, this included finance directors, chief executives and service leaders in central government, crime and security, education, health and social care, housing and local government.</w:t>
      </w:r>
    </w:p>
  </w:footnote>
  <w:footnote w:id="2">
    <w:p w:rsidR="00C01A8C" w:rsidRDefault="00C01A8C">
      <w:pPr>
        <w:pStyle w:val="FootnoteText"/>
      </w:pPr>
      <w:r>
        <w:rPr>
          <w:rStyle w:val="FootnoteReference"/>
        </w:rPr>
        <w:footnoteRef/>
      </w:r>
      <w:r>
        <w:t xml:space="preserve"> HM Treasury, Analysis: the long-term impact of EU membership and the alternatives, 2016 </w:t>
      </w:r>
      <w:hyperlink r:id="rId1" w:history="1">
        <w:r w:rsidRPr="00C01A8C">
          <w:rPr>
            <w:rStyle w:val="Hyperlink"/>
          </w:rPr>
          <w:t>https://www.gov.uk/government/publications/hm-treasury-analysis-the-long-term-economic-impact-of-eu-membership-and-the-alternatives</w:t>
        </w:r>
      </w:hyperlink>
    </w:p>
  </w:footnote>
  <w:footnote w:id="3">
    <w:p w:rsidR="00C01A8C" w:rsidRDefault="00C01A8C">
      <w:pPr>
        <w:pStyle w:val="FootnoteText"/>
      </w:pPr>
      <w:r>
        <w:rPr>
          <w:rStyle w:val="FootnoteReference"/>
        </w:rPr>
        <w:footnoteRef/>
      </w:r>
      <w:r>
        <w:t xml:space="preserve"> LSE, The consequences of Brexit for the UK and living standards, 2016 </w:t>
      </w:r>
      <w:hyperlink r:id="rId2" w:history="1">
        <w:r w:rsidRPr="00C01A8C">
          <w:rPr>
            <w:rStyle w:val="Hyperlink"/>
          </w:rPr>
          <w:t>http://cep.lse.ac.uk/pubs/download/brexit02.pdf</w:t>
        </w:r>
      </w:hyperlink>
    </w:p>
  </w:footnote>
  <w:footnote w:id="4">
    <w:p w:rsidR="00C748FD" w:rsidRDefault="00C748FD">
      <w:pPr>
        <w:pStyle w:val="FootnoteText"/>
      </w:pPr>
      <w:r>
        <w:rPr>
          <w:rStyle w:val="FootnoteReference"/>
        </w:rPr>
        <w:footnoteRef/>
      </w:r>
      <w:r>
        <w:t xml:space="preserve"> HM Treasury: News, </w:t>
      </w:r>
      <w:r w:rsidRPr="00C748FD">
        <w:t>Chancellor Philip Hammond guarantees EU funding beyond date UK leaves the EU</w:t>
      </w:r>
      <w:r>
        <w:t xml:space="preserve"> – 13 August 2016 </w:t>
      </w:r>
      <w:hyperlink r:id="rId3" w:history="1">
        <w:r w:rsidRPr="00C748FD">
          <w:rPr>
            <w:rStyle w:val="Hyperlink"/>
          </w:rPr>
          <w:t>https://www.gov.uk/government/news/chancellor-philip-hammond-guarantees-eu-funding-beyond-date-uk-leaves-the-eu</w:t>
        </w:r>
      </w:hyperlink>
    </w:p>
  </w:footnote>
  <w:footnote w:id="5">
    <w:p w:rsidR="001807AC" w:rsidRDefault="001807AC">
      <w:pPr>
        <w:pStyle w:val="FootnoteText"/>
      </w:pPr>
      <w:r>
        <w:rPr>
          <w:rStyle w:val="FootnoteReference"/>
        </w:rPr>
        <w:footnoteRef/>
      </w:r>
      <w:r>
        <w:t xml:space="preserve"> Vote leave campaign: </w:t>
      </w:r>
      <w:hyperlink r:id="rId4" w:history="1">
        <w:r w:rsidRPr="001807AC">
          <w:rPr>
            <w:rStyle w:val="Hyperlink"/>
          </w:rPr>
          <w:t>http://www.voteleavetakecontrol.org/why_vote_leave.html</w:t>
        </w:r>
      </w:hyperlink>
    </w:p>
  </w:footnote>
  <w:footnote w:id="6">
    <w:p w:rsidR="001807AC" w:rsidRDefault="001807AC">
      <w:pPr>
        <w:pStyle w:val="FootnoteText"/>
      </w:pPr>
      <w:r>
        <w:rPr>
          <w:rStyle w:val="FootnoteReference"/>
        </w:rPr>
        <w:footnoteRef/>
      </w:r>
      <w:r>
        <w:t xml:space="preserve"> Britain Stronger in Europe campaign: </w:t>
      </w:r>
      <w:hyperlink r:id="rId5" w:anchor="8wmoFrsYFYuxkPfz.97" w:history="1">
        <w:r w:rsidRPr="001807AC">
          <w:rPr>
            <w:rStyle w:val="Hyperlink"/>
          </w:rPr>
          <w:t>http://www.strongerin.co.uk/get_the_facts#8wmoFrsYFYuxkPfz.97</w:t>
        </w:r>
      </w:hyperlink>
    </w:p>
  </w:footnote>
  <w:footnote w:id="7">
    <w:p w:rsidR="00F62F4C" w:rsidRDefault="00F62F4C">
      <w:pPr>
        <w:pStyle w:val="FootnoteText"/>
      </w:pPr>
      <w:r>
        <w:rPr>
          <w:rStyle w:val="FootnoteReference"/>
        </w:rPr>
        <w:footnoteRef/>
      </w:r>
      <w:r>
        <w:t xml:space="preserve"> The Institute for Fiscal Studies, the EU Budget: a guide, 2016 </w:t>
      </w:r>
      <w:hyperlink r:id="rId6" w:history="1">
        <w:r w:rsidRPr="00F62F4C">
          <w:rPr>
            <w:rStyle w:val="Hyperlink"/>
          </w:rPr>
          <w:t>http://www.ifs.org.uk/uploads/publications/bns/BN181.pdf</w:t>
        </w:r>
      </w:hyperlink>
    </w:p>
  </w:footnote>
  <w:footnote w:id="8">
    <w:p w:rsidR="00C678B2" w:rsidRDefault="00C678B2">
      <w:pPr>
        <w:pStyle w:val="FootnoteText"/>
      </w:pPr>
      <w:r>
        <w:rPr>
          <w:rStyle w:val="FootnoteReference"/>
        </w:rPr>
        <w:footnoteRef/>
      </w:r>
      <w:r>
        <w:t xml:space="preserve"> Office of Budget Responsibility (OBR), Economic and fiscal outlook: supplementary fiscal tables, 2016</w:t>
      </w:r>
    </w:p>
  </w:footnote>
  <w:footnote w:id="9">
    <w:p w:rsidR="007C58AF" w:rsidRDefault="007C58AF">
      <w:pPr>
        <w:pStyle w:val="FootnoteText"/>
      </w:pPr>
      <w:r>
        <w:rPr>
          <w:rStyle w:val="FootnoteReference"/>
        </w:rPr>
        <w:footnoteRef/>
      </w:r>
      <w:r>
        <w:t xml:space="preserve"> CIPFA Briefing: Fundi</w:t>
      </w:r>
      <w:r w:rsidR="009D30CF">
        <w:t>ng Devolved Government,</w:t>
      </w:r>
      <w:r>
        <w:t xml:space="preserve"> 2014 </w:t>
      </w:r>
      <w:hyperlink r:id="rId7" w:history="1">
        <w:r w:rsidRPr="007C58AF">
          <w:rPr>
            <w:rStyle w:val="Hyperlink"/>
          </w:rPr>
          <w:t>http://www.cipfa.org/cipfa-thinks/briefings-3</w:t>
        </w:r>
      </w:hyperlink>
    </w:p>
  </w:footnote>
  <w:footnote w:id="10">
    <w:p w:rsidR="00283807" w:rsidRDefault="00283807">
      <w:pPr>
        <w:pStyle w:val="FootnoteText"/>
      </w:pPr>
      <w:r>
        <w:rPr>
          <w:rStyle w:val="FootnoteReference"/>
        </w:rPr>
        <w:footnoteRef/>
      </w:r>
      <w:r>
        <w:t xml:space="preserve"> </w:t>
      </w:r>
      <w:r w:rsidRPr="00283807">
        <w:t>The Scottish Parliament may need a new funding formula due to the implications of the UK voting to leave the European Union, MSPs have been told.</w:t>
      </w:r>
      <w:r>
        <w:t xml:space="preserve"> STV News 28 July 2016 </w:t>
      </w:r>
      <w:hyperlink r:id="rId8" w:history="1">
        <w:r w:rsidRPr="00283807">
          <w:rPr>
            <w:rStyle w:val="Hyperlink"/>
          </w:rPr>
          <w:t>http://stv.tv/news/politics/1362066-holyrood-may-need-new-funding-model-due-to-brexit-msps-told/</w:t>
        </w:r>
      </w:hyperlink>
    </w:p>
  </w:footnote>
  <w:footnote w:id="11">
    <w:p w:rsidR="009D30CF" w:rsidRDefault="009D30CF">
      <w:pPr>
        <w:pStyle w:val="FootnoteText"/>
      </w:pPr>
      <w:r>
        <w:rPr>
          <w:rStyle w:val="FootnoteReference"/>
        </w:rPr>
        <w:footnoteRef/>
      </w:r>
      <w:r>
        <w:t xml:space="preserve"> CIPFA Manifesto 2015: </w:t>
      </w:r>
      <w:hyperlink r:id="rId9" w:history="1">
        <w:r w:rsidRPr="009D30CF">
          <w:rPr>
            <w:rStyle w:val="Hyperlink"/>
          </w:rPr>
          <w:t>http://www.cipfa.org/cipfa-thinks/manifesto2015</w:t>
        </w:r>
      </w:hyperlink>
    </w:p>
  </w:footnote>
  <w:footnote w:id="12">
    <w:p w:rsidR="00A61B0F" w:rsidRDefault="00A61B0F">
      <w:pPr>
        <w:pStyle w:val="FootnoteText"/>
      </w:pPr>
      <w:r>
        <w:rPr>
          <w:rStyle w:val="FootnoteReference"/>
        </w:rPr>
        <w:footnoteRef/>
      </w:r>
      <w:r>
        <w:t xml:space="preserve"> HM Government, Review of the balance of competences between the United Kingdom and the EU Health, 2012 </w:t>
      </w:r>
      <w:hyperlink r:id="rId10" w:history="1">
        <w:r w:rsidRPr="00A61B0F">
          <w:rPr>
            <w:rStyle w:val="Hyperlink"/>
          </w:rPr>
          <w:t>https://www.gov.uk/government/uploads/system/uploads/attachment_data/file/224715/2901083_EU-Health_acc.pdf</w:t>
        </w:r>
      </w:hyperlink>
    </w:p>
  </w:footnote>
  <w:footnote w:id="13">
    <w:p w:rsidR="005A433A" w:rsidRDefault="005A433A">
      <w:pPr>
        <w:pStyle w:val="FootnoteText"/>
      </w:pPr>
      <w:r>
        <w:rPr>
          <w:rStyle w:val="FootnoteReference"/>
        </w:rPr>
        <w:footnoteRef/>
      </w:r>
      <w:r>
        <w:t xml:space="preserve"> Oxford University, Social care for the older people and demand for migrant workers, 2011 </w:t>
      </w:r>
      <w:hyperlink r:id="rId11" w:history="1">
        <w:r w:rsidRPr="005A433A">
          <w:rPr>
            <w:rStyle w:val="Hyperlink"/>
          </w:rPr>
          <w:t>http://www.migrationobservatory.ox.ac.uk/resources/primers/social-care-for-older-people-and-demand-for-migrant-workers/</w:t>
        </w:r>
      </w:hyperlink>
    </w:p>
  </w:footnote>
  <w:footnote w:id="14">
    <w:p w:rsidR="00720C66" w:rsidRDefault="00720C66">
      <w:pPr>
        <w:pStyle w:val="FootnoteText"/>
      </w:pPr>
      <w:r>
        <w:rPr>
          <w:rStyle w:val="FootnoteReference"/>
        </w:rPr>
        <w:footnoteRef/>
      </w:r>
      <w:r>
        <w:t xml:space="preserve"> </w:t>
      </w:r>
      <w:r w:rsidRPr="00720C66">
        <w:t xml:space="preserve">BBC News, Jeremy Corbyn warns of workers’ rights ‘bonfire’ if UK leaves, 2016 </w:t>
      </w:r>
      <w:hyperlink r:id="rId12" w:history="1">
        <w:r w:rsidRPr="00720C66">
          <w:rPr>
            <w:rStyle w:val="Hyperlink"/>
          </w:rPr>
          <w:t>http://www.bbc.co.uk/news/uk-politics-eu-referendum-36039925</w:t>
        </w:r>
      </w:hyperlink>
    </w:p>
  </w:footnote>
  <w:footnote w:id="15">
    <w:p w:rsidR="00B76A6F" w:rsidRDefault="00B76A6F">
      <w:pPr>
        <w:pStyle w:val="FootnoteText"/>
      </w:pPr>
      <w:r>
        <w:rPr>
          <w:rStyle w:val="FootnoteReference"/>
        </w:rPr>
        <w:footnoteRef/>
      </w:r>
      <w:r>
        <w:t xml:space="preserve"> Department for Communities and Local Government (DCLG), Local Government Procurement, 2014 </w:t>
      </w:r>
      <w:hyperlink r:id="rId13" w:history="1">
        <w:r w:rsidRPr="00B76A6F">
          <w:rPr>
            <w:rStyle w:val="Hyperlink"/>
          </w:rPr>
          <w:t>http://www.publications.parliament.uk/pa/cm201314/cmselect/cmcomloc/712/712.pdf</w:t>
        </w:r>
      </w:hyperlink>
      <w:r>
        <w:t xml:space="preserve"> </w:t>
      </w:r>
    </w:p>
  </w:footnote>
  <w:footnote w:id="16">
    <w:p w:rsidR="009344AC" w:rsidRDefault="009344AC">
      <w:pPr>
        <w:pStyle w:val="FootnoteText"/>
      </w:pPr>
      <w:r>
        <w:rPr>
          <w:rStyle w:val="FootnoteReference"/>
        </w:rPr>
        <w:footnoteRef/>
      </w:r>
      <w:r>
        <w:t xml:space="preserve"> </w:t>
      </w:r>
      <w:r w:rsidRPr="009344AC">
        <w:t>The Guardian, For a clean, green future, Britain must remain in the EU, 2016</w:t>
      </w:r>
      <w:r>
        <w:t xml:space="preserve"> </w:t>
      </w:r>
      <w:hyperlink r:id="rId14" w:history="1">
        <w:r w:rsidRPr="009344AC">
          <w:rPr>
            <w:rStyle w:val="Hyperlink"/>
          </w:rPr>
          <w:t>https://www.theguardian.com/environment/2016/jan/21/for-a-clean-green-future-britain-must-remain-in-the-eu-mary-creagh</w:t>
        </w:r>
      </w:hyperlink>
    </w:p>
  </w:footnote>
  <w:footnote w:id="17">
    <w:p w:rsidR="009344AC" w:rsidRDefault="009344AC">
      <w:pPr>
        <w:pStyle w:val="FootnoteText"/>
      </w:pPr>
      <w:r>
        <w:rPr>
          <w:rStyle w:val="FootnoteReference"/>
        </w:rPr>
        <w:footnoteRef/>
      </w:r>
      <w:r>
        <w:t xml:space="preserve"> </w:t>
      </w:r>
      <w:r w:rsidRPr="009344AC">
        <w:t>The Environment Agency, Economic Analysis Extended Report, 2014</w:t>
      </w:r>
      <w:r>
        <w:t xml:space="preserve"> </w:t>
      </w:r>
      <w:hyperlink r:id="rId15" w:history="1">
        <w:r w:rsidRPr="009344AC">
          <w:rPr>
            <w:rStyle w:val="Hyperlink"/>
          </w:rPr>
          <w:t>http://www.consult.environment-agency.gov.uk/file/3078881</w:t>
        </w:r>
      </w:hyperlink>
    </w:p>
  </w:footnote>
  <w:footnote w:id="18">
    <w:p w:rsidR="004339DB" w:rsidRDefault="004339DB" w:rsidP="004339DB">
      <w:pPr>
        <w:pStyle w:val="FootnoteText"/>
      </w:pPr>
      <w:r>
        <w:rPr>
          <w:rStyle w:val="FootnoteReference"/>
        </w:rPr>
        <w:footnoteRef/>
      </w:r>
      <w:r>
        <w:t xml:space="preserve"> The London School of Economics, The impact of migration on access to housing and the housing market, 2011</w:t>
      </w:r>
    </w:p>
  </w:footnote>
  <w:footnote w:id="19">
    <w:p w:rsidR="004339DB" w:rsidRDefault="004339DB">
      <w:pPr>
        <w:pStyle w:val="FootnoteText"/>
      </w:pPr>
      <w:r>
        <w:rPr>
          <w:rStyle w:val="FootnoteReference"/>
        </w:rPr>
        <w:footnoteRef/>
      </w:r>
      <w:r>
        <w:t xml:space="preserve"> </w:t>
      </w:r>
      <w:r w:rsidRPr="004339DB">
        <w:t>The Oxford Migration Observatory, Migrants and housing in the UK, 2015</w:t>
      </w:r>
      <w:r>
        <w:t xml:space="preserve"> </w:t>
      </w:r>
      <w:hyperlink r:id="rId16" w:history="1">
        <w:r w:rsidRPr="004339DB">
          <w:rPr>
            <w:rStyle w:val="Hyperlink"/>
          </w:rPr>
          <w:t>http://www.migrationobservatory.ox.ac.uk/resources/briefings/migrants-and-housing-in-the-uk-experiences-and-impacts/</w:t>
        </w:r>
      </w:hyperlink>
    </w:p>
  </w:footnote>
  <w:footnote w:id="20">
    <w:p w:rsidR="004339DB" w:rsidRDefault="004339DB" w:rsidP="004339DB">
      <w:pPr>
        <w:pStyle w:val="FootnoteText"/>
      </w:pPr>
      <w:r>
        <w:rPr>
          <w:rStyle w:val="FootnoteReference"/>
        </w:rPr>
        <w:footnoteRef/>
      </w:r>
      <w:r>
        <w:t xml:space="preserve"> The Chartered Institute of Building, An analysis on migration in the construction Sector, 2015</w:t>
      </w:r>
    </w:p>
  </w:footnote>
  <w:footnote w:id="21">
    <w:p w:rsidR="00D14B7F" w:rsidRDefault="00D14B7F">
      <w:pPr>
        <w:pStyle w:val="FootnoteText"/>
      </w:pPr>
      <w:r>
        <w:rPr>
          <w:rStyle w:val="FootnoteReference"/>
        </w:rPr>
        <w:footnoteRef/>
      </w:r>
      <w:r>
        <w:t xml:space="preserve"> </w:t>
      </w:r>
      <w:r w:rsidRPr="00D14B7F">
        <w:t>David Davis MP, Europe: It’s time to decide, 2012</w:t>
      </w:r>
      <w:r>
        <w:t xml:space="preserve"> </w:t>
      </w:r>
      <w:hyperlink r:id="rId17" w:history="1">
        <w:r w:rsidRPr="00D14B7F">
          <w:rPr>
            <w:rStyle w:val="Hyperlink"/>
          </w:rPr>
          <w:t>http://www.daviddavismp.com/david-davis-mp-delivers-speech-on-the-opportunities-for-a-referendum-on-europe/</w:t>
        </w:r>
      </w:hyperlink>
    </w:p>
  </w:footnote>
  <w:footnote w:id="22">
    <w:p w:rsidR="00D14B7F" w:rsidRDefault="00D14B7F">
      <w:pPr>
        <w:pStyle w:val="FootnoteText"/>
      </w:pPr>
      <w:r>
        <w:rPr>
          <w:rStyle w:val="FootnoteReference"/>
        </w:rPr>
        <w:footnoteRef/>
      </w:r>
      <w:r>
        <w:t xml:space="preserve"> </w:t>
      </w:r>
      <w:r w:rsidRPr="00D14B7F">
        <w:t>The Law Society, EU and the legal sector, 2015</w:t>
      </w:r>
      <w:r>
        <w:t xml:space="preserve"> </w:t>
      </w:r>
      <w:hyperlink r:id="rId18" w:history="1">
        <w:r w:rsidRPr="00D14B7F">
          <w:rPr>
            <w:rStyle w:val="Hyperlink"/>
          </w:rPr>
          <w:t>http://www.lawsociety.org.uk/News/documents/eu-and-the-legal-sector-October-2015/</w:t>
        </w:r>
      </w:hyperlink>
    </w:p>
  </w:footnote>
  <w:footnote w:id="23">
    <w:p w:rsidR="00A67EDD" w:rsidRDefault="00A67EDD">
      <w:pPr>
        <w:pStyle w:val="FootnoteText"/>
      </w:pPr>
      <w:r>
        <w:rPr>
          <w:rStyle w:val="FootnoteReference"/>
        </w:rPr>
        <w:footnoteRef/>
      </w:r>
      <w:r>
        <w:t xml:space="preserve"> </w:t>
      </w:r>
      <w:r w:rsidRPr="00A67EDD">
        <w:t>House of Commons, Exiting the EU, 2015</w:t>
      </w:r>
    </w:p>
  </w:footnote>
  <w:footnote w:id="24">
    <w:p w:rsidR="00A67EDD" w:rsidRDefault="00A67EDD">
      <w:pPr>
        <w:pStyle w:val="FootnoteText"/>
      </w:pPr>
      <w:r>
        <w:rPr>
          <w:rStyle w:val="FootnoteReference"/>
        </w:rPr>
        <w:footnoteRef/>
      </w:r>
      <w:r>
        <w:t xml:space="preserve"> </w:t>
      </w:r>
      <w:r w:rsidR="007E59ED" w:rsidRPr="007E59ED">
        <w:t>Times Higher Education, University rankings, 2016</w:t>
      </w:r>
      <w:r w:rsidR="007E59ED">
        <w:t xml:space="preserve"> </w:t>
      </w:r>
      <w:hyperlink r:id="rId19" w:history="1">
        <w:r w:rsidR="007E59ED" w:rsidRPr="007E59ED">
          <w:rPr>
            <w:rStyle w:val="Hyperlink"/>
          </w:rPr>
          <w:t>https://www.timeshighereducation.com/world-university-rankings/best-universities-in-europe-2016</w:t>
        </w:r>
      </w:hyperlink>
    </w:p>
  </w:footnote>
  <w:footnote w:id="25">
    <w:p w:rsidR="007E59ED" w:rsidRDefault="007E59ED">
      <w:pPr>
        <w:pStyle w:val="FootnoteText"/>
      </w:pPr>
      <w:r>
        <w:rPr>
          <w:rStyle w:val="FootnoteReference"/>
        </w:rPr>
        <w:footnoteRef/>
      </w:r>
      <w:r>
        <w:t xml:space="preserve"> </w:t>
      </w:r>
      <w:r w:rsidRPr="007E59ED">
        <w:t>UK Office for National Statistics, UK Government expenditure on science, en</w:t>
      </w:r>
      <w:r>
        <w:t xml:space="preserve">gineering and technology, 2015 </w:t>
      </w:r>
    </w:p>
  </w:footnote>
  <w:footnote w:id="26">
    <w:p w:rsidR="007E59ED" w:rsidRDefault="007E59ED">
      <w:pPr>
        <w:pStyle w:val="FootnoteText"/>
      </w:pPr>
      <w:r>
        <w:rPr>
          <w:rStyle w:val="FootnoteReference"/>
        </w:rPr>
        <w:footnoteRef/>
      </w:r>
      <w:r>
        <w:t xml:space="preserve"> </w:t>
      </w:r>
      <w:r w:rsidRPr="007E59ED">
        <w:t>European Commission, Horizon 2020 programme, 2013</w:t>
      </w:r>
      <w:r>
        <w:t xml:space="preserve"> </w:t>
      </w:r>
      <w:hyperlink r:id="rId20" w:history="1">
        <w:r w:rsidRPr="00355E89">
          <w:rPr>
            <w:rStyle w:val="Hyperlink"/>
          </w:rPr>
          <w:t>http://ec.europa.eu/programmes/horizon2020/en/what-horizon-2020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9" w:rsidRDefault="004466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9" w:rsidRDefault="00446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9" w:rsidRDefault="00446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DAC"/>
    <w:multiLevelType w:val="hybridMultilevel"/>
    <w:tmpl w:val="0C92BB1C"/>
    <w:lvl w:ilvl="0" w:tplc="9E14EA16">
      <w:numFmt w:val="bullet"/>
      <w:pStyle w:val="QUICKGUIDEbulletlist"/>
      <w:lvlText w:val=""/>
      <w:lvlJc w:val="left"/>
      <w:pPr>
        <w:ind w:left="8582" w:hanging="360"/>
      </w:pPr>
      <w:rPr>
        <w:rFonts w:ascii="Wingdings 2" w:hAnsi="Wingdings 2" w:hint="default"/>
        <w:color w:val="auto"/>
      </w:rPr>
    </w:lvl>
    <w:lvl w:ilvl="1" w:tplc="08090003">
      <w:start w:val="1"/>
      <w:numFmt w:val="bullet"/>
      <w:lvlText w:val="o"/>
      <w:lvlJc w:val="left"/>
      <w:pPr>
        <w:tabs>
          <w:tab w:val="num" w:pos="8811"/>
        </w:tabs>
        <w:ind w:left="8811" w:hanging="360"/>
      </w:pPr>
      <w:rPr>
        <w:rFonts w:ascii="Courier New" w:hAnsi="Courier New" w:cs="Courier New" w:hint="default"/>
      </w:rPr>
    </w:lvl>
    <w:lvl w:ilvl="2" w:tplc="08090005" w:tentative="1">
      <w:start w:val="1"/>
      <w:numFmt w:val="bullet"/>
      <w:lvlText w:val=""/>
      <w:lvlJc w:val="left"/>
      <w:pPr>
        <w:tabs>
          <w:tab w:val="num" w:pos="9531"/>
        </w:tabs>
        <w:ind w:left="9531" w:hanging="360"/>
      </w:pPr>
      <w:rPr>
        <w:rFonts w:ascii="Wingdings" w:hAnsi="Wingdings" w:hint="default"/>
      </w:rPr>
    </w:lvl>
    <w:lvl w:ilvl="3" w:tplc="08090001" w:tentative="1">
      <w:start w:val="1"/>
      <w:numFmt w:val="bullet"/>
      <w:lvlText w:val=""/>
      <w:lvlJc w:val="left"/>
      <w:pPr>
        <w:tabs>
          <w:tab w:val="num" w:pos="10251"/>
        </w:tabs>
        <w:ind w:left="10251" w:hanging="360"/>
      </w:pPr>
      <w:rPr>
        <w:rFonts w:ascii="Symbol" w:hAnsi="Symbol" w:hint="default"/>
      </w:rPr>
    </w:lvl>
    <w:lvl w:ilvl="4" w:tplc="08090003" w:tentative="1">
      <w:start w:val="1"/>
      <w:numFmt w:val="bullet"/>
      <w:lvlText w:val="o"/>
      <w:lvlJc w:val="left"/>
      <w:pPr>
        <w:tabs>
          <w:tab w:val="num" w:pos="10971"/>
        </w:tabs>
        <w:ind w:left="10971" w:hanging="360"/>
      </w:pPr>
      <w:rPr>
        <w:rFonts w:ascii="Courier New" w:hAnsi="Courier New" w:cs="Courier New" w:hint="default"/>
      </w:rPr>
    </w:lvl>
    <w:lvl w:ilvl="5" w:tplc="08090005" w:tentative="1">
      <w:start w:val="1"/>
      <w:numFmt w:val="bullet"/>
      <w:lvlText w:val=""/>
      <w:lvlJc w:val="left"/>
      <w:pPr>
        <w:tabs>
          <w:tab w:val="num" w:pos="11691"/>
        </w:tabs>
        <w:ind w:left="11691" w:hanging="360"/>
      </w:pPr>
      <w:rPr>
        <w:rFonts w:ascii="Wingdings" w:hAnsi="Wingdings" w:hint="default"/>
      </w:rPr>
    </w:lvl>
    <w:lvl w:ilvl="6" w:tplc="08090001" w:tentative="1">
      <w:start w:val="1"/>
      <w:numFmt w:val="bullet"/>
      <w:lvlText w:val=""/>
      <w:lvlJc w:val="left"/>
      <w:pPr>
        <w:tabs>
          <w:tab w:val="num" w:pos="12411"/>
        </w:tabs>
        <w:ind w:left="12411" w:hanging="360"/>
      </w:pPr>
      <w:rPr>
        <w:rFonts w:ascii="Symbol" w:hAnsi="Symbol" w:hint="default"/>
      </w:rPr>
    </w:lvl>
    <w:lvl w:ilvl="7" w:tplc="08090003" w:tentative="1">
      <w:start w:val="1"/>
      <w:numFmt w:val="bullet"/>
      <w:lvlText w:val="o"/>
      <w:lvlJc w:val="left"/>
      <w:pPr>
        <w:tabs>
          <w:tab w:val="num" w:pos="13131"/>
        </w:tabs>
        <w:ind w:left="13131" w:hanging="360"/>
      </w:pPr>
      <w:rPr>
        <w:rFonts w:ascii="Courier New" w:hAnsi="Courier New" w:cs="Courier New" w:hint="default"/>
      </w:rPr>
    </w:lvl>
    <w:lvl w:ilvl="8" w:tplc="08090005" w:tentative="1">
      <w:start w:val="1"/>
      <w:numFmt w:val="bullet"/>
      <w:lvlText w:val=""/>
      <w:lvlJc w:val="left"/>
      <w:pPr>
        <w:tabs>
          <w:tab w:val="num" w:pos="13851"/>
        </w:tabs>
        <w:ind w:left="13851" w:hanging="360"/>
      </w:pPr>
      <w:rPr>
        <w:rFonts w:ascii="Wingdings" w:hAnsi="Wingdings" w:hint="default"/>
      </w:rPr>
    </w:lvl>
  </w:abstractNum>
  <w:abstractNum w:abstractNumId="1" w15:restartNumberingAfterBreak="0">
    <w:nsid w:val="047A58C9"/>
    <w:multiLevelType w:val="hybridMultilevel"/>
    <w:tmpl w:val="A726F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E6364"/>
    <w:multiLevelType w:val="hybridMultilevel"/>
    <w:tmpl w:val="B7B8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03E12"/>
    <w:multiLevelType w:val="hybridMultilevel"/>
    <w:tmpl w:val="E674A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D54BD2"/>
    <w:multiLevelType w:val="hybridMultilevel"/>
    <w:tmpl w:val="EEEC562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0DD553B2"/>
    <w:multiLevelType w:val="hybridMultilevel"/>
    <w:tmpl w:val="0484BDC4"/>
    <w:lvl w:ilvl="0" w:tplc="C5024F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731277"/>
    <w:multiLevelType w:val="hybridMultilevel"/>
    <w:tmpl w:val="0EC883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9102B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114760"/>
    <w:multiLevelType w:val="hybridMultilevel"/>
    <w:tmpl w:val="C5D286C2"/>
    <w:lvl w:ilvl="0" w:tplc="08090001">
      <w:start w:val="1"/>
      <w:numFmt w:val="bullet"/>
      <w:lvlText w:val=""/>
      <w:lvlJc w:val="left"/>
      <w:pPr>
        <w:ind w:left="8582" w:hanging="360"/>
      </w:pPr>
      <w:rPr>
        <w:rFonts w:ascii="Symbol" w:hAnsi="Symbol" w:hint="default"/>
        <w:color w:val="auto"/>
      </w:rPr>
    </w:lvl>
    <w:lvl w:ilvl="1" w:tplc="08090003">
      <w:start w:val="1"/>
      <w:numFmt w:val="bullet"/>
      <w:lvlText w:val="o"/>
      <w:lvlJc w:val="left"/>
      <w:pPr>
        <w:tabs>
          <w:tab w:val="num" w:pos="8811"/>
        </w:tabs>
        <w:ind w:left="8811" w:hanging="360"/>
      </w:pPr>
      <w:rPr>
        <w:rFonts w:ascii="Courier New" w:hAnsi="Courier New" w:cs="Courier New" w:hint="default"/>
      </w:rPr>
    </w:lvl>
    <w:lvl w:ilvl="2" w:tplc="08090005" w:tentative="1">
      <w:start w:val="1"/>
      <w:numFmt w:val="bullet"/>
      <w:lvlText w:val=""/>
      <w:lvlJc w:val="left"/>
      <w:pPr>
        <w:tabs>
          <w:tab w:val="num" w:pos="9531"/>
        </w:tabs>
        <w:ind w:left="9531" w:hanging="360"/>
      </w:pPr>
      <w:rPr>
        <w:rFonts w:ascii="Wingdings" w:hAnsi="Wingdings" w:hint="default"/>
      </w:rPr>
    </w:lvl>
    <w:lvl w:ilvl="3" w:tplc="08090001" w:tentative="1">
      <w:start w:val="1"/>
      <w:numFmt w:val="bullet"/>
      <w:lvlText w:val=""/>
      <w:lvlJc w:val="left"/>
      <w:pPr>
        <w:tabs>
          <w:tab w:val="num" w:pos="10251"/>
        </w:tabs>
        <w:ind w:left="10251" w:hanging="360"/>
      </w:pPr>
      <w:rPr>
        <w:rFonts w:ascii="Symbol" w:hAnsi="Symbol" w:hint="default"/>
      </w:rPr>
    </w:lvl>
    <w:lvl w:ilvl="4" w:tplc="08090003" w:tentative="1">
      <w:start w:val="1"/>
      <w:numFmt w:val="bullet"/>
      <w:lvlText w:val="o"/>
      <w:lvlJc w:val="left"/>
      <w:pPr>
        <w:tabs>
          <w:tab w:val="num" w:pos="10971"/>
        </w:tabs>
        <w:ind w:left="10971" w:hanging="360"/>
      </w:pPr>
      <w:rPr>
        <w:rFonts w:ascii="Courier New" w:hAnsi="Courier New" w:cs="Courier New" w:hint="default"/>
      </w:rPr>
    </w:lvl>
    <w:lvl w:ilvl="5" w:tplc="08090005" w:tentative="1">
      <w:start w:val="1"/>
      <w:numFmt w:val="bullet"/>
      <w:lvlText w:val=""/>
      <w:lvlJc w:val="left"/>
      <w:pPr>
        <w:tabs>
          <w:tab w:val="num" w:pos="11691"/>
        </w:tabs>
        <w:ind w:left="11691" w:hanging="360"/>
      </w:pPr>
      <w:rPr>
        <w:rFonts w:ascii="Wingdings" w:hAnsi="Wingdings" w:hint="default"/>
      </w:rPr>
    </w:lvl>
    <w:lvl w:ilvl="6" w:tplc="08090001" w:tentative="1">
      <w:start w:val="1"/>
      <w:numFmt w:val="bullet"/>
      <w:lvlText w:val=""/>
      <w:lvlJc w:val="left"/>
      <w:pPr>
        <w:tabs>
          <w:tab w:val="num" w:pos="12411"/>
        </w:tabs>
        <w:ind w:left="12411" w:hanging="360"/>
      </w:pPr>
      <w:rPr>
        <w:rFonts w:ascii="Symbol" w:hAnsi="Symbol" w:hint="default"/>
      </w:rPr>
    </w:lvl>
    <w:lvl w:ilvl="7" w:tplc="08090003" w:tentative="1">
      <w:start w:val="1"/>
      <w:numFmt w:val="bullet"/>
      <w:lvlText w:val="o"/>
      <w:lvlJc w:val="left"/>
      <w:pPr>
        <w:tabs>
          <w:tab w:val="num" w:pos="13131"/>
        </w:tabs>
        <w:ind w:left="13131" w:hanging="360"/>
      </w:pPr>
      <w:rPr>
        <w:rFonts w:ascii="Courier New" w:hAnsi="Courier New" w:cs="Courier New" w:hint="default"/>
      </w:rPr>
    </w:lvl>
    <w:lvl w:ilvl="8" w:tplc="08090005" w:tentative="1">
      <w:start w:val="1"/>
      <w:numFmt w:val="bullet"/>
      <w:lvlText w:val=""/>
      <w:lvlJc w:val="left"/>
      <w:pPr>
        <w:tabs>
          <w:tab w:val="num" w:pos="13851"/>
        </w:tabs>
        <w:ind w:left="13851" w:hanging="360"/>
      </w:pPr>
      <w:rPr>
        <w:rFonts w:ascii="Wingdings" w:hAnsi="Wingdings" w:hint="default"/>
      </w:rPr>
    </w:lvl>
  </w:abstractNum>
  <w:abstractNum w:abstractNumId="9" w15:restartNumberingAfterBreak="0">
    <w:nsid w:val="2AC03623"/>
    <w:multiLevelType w:val="hybridMultilevel"/>
    <w:tmpl w:val="31420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BF3385"/>
    <w:multiLevelType w:val="multilevel"/>
    <w:tmpl w:val="69EE2A84"/>
    <w:lvl w:ilvl="0">
      <w:start w:val="1"/>
      <w:numFmt w:val="decimal"/>
      <w:lvlText w:val="%1"/>
      <w:lvlJc w:val="left"/>
      <w:pPr>
        <w:ind w:left="360" w:hanging="36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E704AD8"/>
    <w:multiLevelType w:val="hybridMultilevel"/>
    <w:tmpl w:val="6388E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BD4B2F"/>
    <w:multiLevelType w:val="hybridMultilevel"/>
    <w:tmpl w:val="AC1E6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9754B13"/>
    <w:multiLevelType w:val="hybridMultilevel"/>
    <w:tmpl w:val="6F60107E"/>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4" w15:restartNumberingAfterBreak="0">
    <w:nsid w:val="4A9218D1"/>
    <w:multiLevelType w:val="hybridMultilevel"/>
    <w:tmpl w:val="5E9CE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E3A5E6B"/>
    <w:multiLevelType w:val="hybridMultilevel"/>
    <w:tmpl w:val="3AE61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4666A"/>
    <w:multiLevelType w:val="hybridMultilevel"/>
    <w:tmpl w:val="F7D0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E6E5E"/>
    <w:multiLevelType w:val="hybridMultilevel"/>
    <w:tmpl w:val="A6EC3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4E435D"/>
    <w:multiLevelType w:val="hybridMultilevel"/>
    <w:tmpl w:val="5EC0647C"/>
    <w:lvl w:ilvl="0" w:tplc="84D45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6E31D5"/>
    <w:multiLevelType w:val="hybridMultilevel"/>
    <w:tmpl w:val="394C7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3C17B4"/>
    <w:multiLevelType w:val="hybridMultilevel"/>
    <w:tmpl w:val="7B9CA62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4A1E03"/>
    <w:multiLevelType w:val="hybridMultilevel"/>
    <w:tmpl w:val="982A3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1092F69"/>
    <w:multiLevelType w:val="hybridMultilevel"/>
    <w:tmpl w:val="9D9AC39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D179ED"/>
    <w:multiLevelType w:val="multilevel"/>
    <w:tmpl w:val="E7AC2DF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4404D2"/>
    <w:multiLevelType w:val="hybridMultilevel"/>
    <w:tmpl w:val="60AE821E"/>
    <w:lvl w:ilvl="0" w:tplc="34B6A5B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67038"/>
    <w:multiLevelType w:val="hybridMultilevel"/>
    <w:tmpl w:val="D78E2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725191"/>
    <w:multiLevelType w:val="hybridMultilevel"/>
    <w:tmpl w:val="CE3A112C"/>
    <w:lvl w:ilvl="0" w:tplc="104C856A">
      <w:start w:val="1"/>
      <w:numFmt w:val="decimal"/>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7" w15:restartNumberingAfterBreak="0">
    <w:nsid w:val="7DBD1F10"/>
    <w:multiLevelType w:val="multilevel"/>
    <w:tmpl w:val="C4C2C7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EDC1582"/>
    <w:multiLevelType w:val="hybridMultilevel"/>
    <w:tmpl w:val="B8CAB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4"/>
  </w:num>
  <w:num w:numId="7">
    <w:abstractNumId w:val="14"/>
  </w:num>
  <w:num w:numId="8">
    <w:abstractNumId w:val="21"/>
  </w:num>
  <w:num w:numId="9">
    <w:abstractNumId w:val="8"/>
  </w:num>
  <w:num w:numId="10">
    <w:abstractNumId w:val="17"/>
  </w:num>
  <w:num w:numId="11">
    <w:abstractNumId w:val="25"/>
  </w:num>
  <w:num w:numId="12">
    <w:abstractNumId w:val="16"/>
  </w:num>
  <w:num w:numId="13">
    <w:abstractNumId w:val="27"/>
  </w:num>
  <w:num w:numId="14">
    <w:abstractNumId w:val="18"/>
  </w:num>
  <w:num w:numId="15">
    <w:abstractNumId w:val="12"/>
  </w:num>
  <w:num w:numId="16">
    <w:abstractNumId w:val="11"/>
  </w:num>
  <w:num w:numId="17">
    <w:abstractNumId w:val="10"/>
  </w:num>
  <w:num w:numId="18">
    <w:abstractNumId w:val="4"/>
  </w:num>
  <w:num w:numId="19">
    <w:abstractNumId w:val="15"/>
  </w:num>
  <w:num w:numId="20">
    <w:abstractNumId w:val="28"/>
  </w:num>
  <w:num w:numId="21">
    <w:abstractNumId w:val="19"/>
  </w:num>
  <w:num w:numId="22">
    <w:abstractNumId w:val="2"/>
  </w:num>
  <w:num w:numId="23">
    <w:abstractNumId w:val="13"/>
  </w:num>
  <w:num w:numId="24">
    <w:abstractNumId w:val="26"/>
  </w:num>
  <w:num w:numId="25">
    <w:abstractNumId w:val="3"/>
  </w:num>
  <w:num w:numId="26">
    <w:abstractNumId w:val="5"/>
  </w:num>
  <w:num w:numId="27">
    <w:abstractNumId w:val="6"/>
  </w:num>
  <w:num w:numId="28">
    <w:abstractNumId w:val="22"/>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EB"/>
    <w:rsid w:val="00002B81"/>
    <w:rsid w:val="00006096"/>
    <w:rsid w:val="0000722C"/>
    <w:rsid w:val="00020DBC"/>
    <w:rsid w:val="00020E86"/>
    <w:rsid w:val="00025B04"/>
    <w:rsid w:val="000260CA"/>
    <w:rsid w:val="0003071E"/>
    <w:rsid w:val="0003413A"/>
    <w:rsid w:val="0004588B"/>
    <w:rsid w:val="00047BB3"/>
    <w:rsid w:val="000527BA"/>
    <w:rsid w:val="000762B9"/>
    <w:rsid w:val="00077C5D"/>
    <w:rsid w:val="000939E5"/>
    <w:rsid w:val="000A055D"/>
    <w:rsid w:val="000A1E27"/>
    <w:rsid w:val="000B7397"/>
    <w:rsid w:val="000C53D3"/>
    <w:rsid w:val="000D2DC1"/>
    <w:rsid w:val="000D32EF"/>
    <w:rsid w:val="000E48F8"/>
    <w:rsid w:val="000F6820"/>
    <w:rsid w:val="00141A70"/>
    <w:rsid w:val="00151458"/>
    <w:rsid w:val="00156514"/>
    <w:rsid w:val="00164808"/>
    <w:rsid w:val="001807AC"/>
    <w:rsid w:val="00195AA1"/>
    <w:rsid w:val="001A34D6"/>
    <w:rsid w:val="001A65D4"/>
    <w:rsid w:val="001D17E1"/>
    <w:rsid w:val="001E3296"/>
    <w:rsid w:val="001F66CF"/>
    <w:rsid w:val="00202A11"/>
    <w:rsid w:val="00211FD8"/>
    <w:rsid w:val="00215394"/>
    <w:rsid w:val="00215A53"/>
    <w:rsid w:val="0022116B"/>
    <w:rsid w:val="0022760B"/>
    <w:rsid w:val="00234C4E"/>
    <w:rsid w:val="002447A3"/>
    <w:rsid w:val="002476DB"/>
    <w:rsid w:val="002510F4"/>
    <w:rsid w:val="00253276"/>
    <w:rsid w:val="002558ED"/>
    <w:rsid w:val="002573CB"/>
    <w:rsid w:val="002755D2"/>
    <w:rsid w:val="00277CA4"/>
    <w:rsid w:val="00283807"/>
    <w:rsid w:val="002910F5"/>
    <w:rsid w:val="00295851"/>
    <w:rsid w:val="00295B67"/>
    <w:rsid w:val="0029612E"/>
    <w:rsid w:val="002A5EAD"/>
    <w:rsid w:val="002A7095"/>
    <w:rsid w:val="002C3C60"/>
    <w:rsid w:val="002D11AA"/>
    <w:rsid w:val="002D3A18"/>
    <w:rsid w:val="002D4251"/>
    <w:rsid w:val="002D47EA"/>
    <w:rsid w:val="002E4E84"/>
    <w:rsid w:val="002E6EAB"/>
    <w:rsid w:val="003005D4"/>
    <w:rsid w:val="00306E2B"/>
    <w:rsid w:val="00313DE3"/>
    <w:rsid w:val="00316657"/>
    <w:rsid w:val="003169EA"/>
    <w:rsid w:val="00326671"/>
    <w:rsid w:val="00340620"/>
    <w:rsid w:val="0034485A"/>
    <w:rsid w:val="00355FAA"/>
    <w:rsid w:val="0036377B"/>
    <w:rsid w:val="0036430E"/>
    <w:rsid w:val="00370A59"/>
    <w:rsid w:val="003725FE"/>
    <w:rsid w:val="003759FD"/>
    <w:rsid w:val="00377DDC"/>
    <w:rsid w:val="00385916"/>
    <w:rsid w:val="003871CE"/>
    <w:rsid w:val="00390F12"/>
    <w:rsid w:val="00395C5C"/>
    <w:rsid w:val="00397060"/>
    <w:rsid w:val="003A77E0"/>
    <w:rsid w:val="003D537E"/>
    <w:rsid w:val="003F053B"/>
    <w:rsid w:val="003F2C48"/>
    <w:rsid w:val="00411D39"/>
    <w:rsid w:val="00416F93"/>
    <w:rsid w:val="00417DC4"/>
    <w:rsid w:val="00427486"/>
    <w:rsid w:val="00431C82"/>
    <w:rsid w:val="00432C53"/>
    <w:rsid w:val="004339DB"/>
    <w:rsid w:val="004466A9"/>
    <w:rsid w:val="00462A50"/>
    <w:rsid w:val="00464C12"/>
    <w:rsid w:val="00482E37"/>
    <w:rsid w:val="00490D8F"/>
    <w:rsid w:val="0049426B"/>
    <w:rsid w:val="004A1F14"/>
    <w:rsid w:val="004A79CA"/>
    <w:rsid w:val="004D2D92"/>
    <w:rsid w:val="004F27F0"/>
    <w:rsid w:val="005028DE"/>
    <w:rsid w:val="005101FA"/>
    <w:rsid w:val="00517DDD"/>
    <w:rsid w:val="00532BFF"/>
    <w:rsid w:val="00541E57"/>
    <w:rsid w:val="00556C18"/>
    <w:rsid w:val="00572AB8"/>
    <w:rsid w:val="00572D2D"/>
    <w:rsid w:val="005757FB"/>
    <w:rsid w:val="00581470"/>
    <w:rsid w:val="0059423A"/>
    <w:rsid w:val="005954E1"/>
    <w:rsid w:val="005A433A"/>
    <w:rsid w:val="005A647E"/>
    <w:rsid w:val="005C226E"/>
    <w:rsid w:val="005C29BC"/>
    <w:rsid w:val="005C3D2D"/>
    <w:rsid w:val="005E0E54"/>
    <w:rsid w:val="005F1364"/>
    <w:rsid w:val="005F7314"/>
    <w:rsid w:val="00633054"/>
    <w:rsid w:val="00633FDE"/>
    <w:rsid w:val="006348F0"/>
    <w:rsid w:val="0064357C"/>
    <w:rsid w:val="006449CC"/>
    <w:rsid w:val="006645FB"/>
    <w:rsid w:val="00667AAC"/>
    <w:rsid w:val="00672483"/>
    <w:rsid w:val="00691720"/>
    <w:rsid w:val="00693F5A"/>
    <w:rsid w:val="00695A42"/>
    <w:rsid w:val="006A4438"/>
    <w:rsid w:val="006B52E0"/>
    <w:rsid w:val="006C18E3"/>
    <w:rsid w:val="006C2F7D"/>
    <w:rsid w:val="006C5424"/>
    <w:rsid w:val="006C59AF"/>
    <w:rsid w:val="006C7AEB"/>
    <w:rsid w:val="006C7D5B"/>
    <w:rsid w:val="006D1FC9"/>
    <w:rsid w:val="006D35B5"/>
    <w:rsid w:val="006E7818"/>
    <w:rsid w:val="006F0835"/>
    <w:rsid w:val="006F22BD"/>
    <w:rsid w:val="006F58D1"/>
    <w:rsid w:val="0070499A"/>
    <w:rsid w:val="007057F1"/>
    <w:rsid w:val="00707196"/>
    <w:rsid w:val="00716D26"/>
    <w:rsid w:val="00720C66"/>
    <w:rsid w:val="007350C7"/>
    <w:rsid w:val="007355B8"/>
    <w:rsid w:val="00737806"/>
    <w:rsid w:val="00743B35"/>
    <w:rsid w:val="007461F2"/>
    <w:rsid w:val="00750141"/>
    <w:rsid w:val="007520FC"/>
    <w:rsid w:val="007534E7"/>
    <w:rsid w:val="007541B7"/>
    <w:rsid w:val="007544A6"/>
    <w:rsid w:val="00763C5A"/>
    <w:rsid w:val="0076614B"/>
    <w:rsid w:val="00773F5F"/>
    <w:rsid w:val="0078628F"/>
    <w:rsid w:val="00793D72"/>
    <w:rsid w:val="00797D70"/>
    <w:rsid w:val="007A2D24"/>
    <w:rsid w:val="007B2613"/>
    <w:rsid w:val="007B2EBB"/>
    <w:rsid w:val="007C58AF"/>
    <w:rsid w:val="007C661D"/>
    <w:rsid w:val="007E3FE6"/>
    <w:rsid w:val="007E4873"/>
    <w:rsid w:val="007E59ED"/>
    <w:rsid w:val="007F139F"/>
    <w:rsid w:val="0080101B"/>
    <w:rsid w:val="00817D0C"/>
    <w:rsid w:val="008268FF"/>
    <w:rsid w:val="00831DF3"/>
    <w:rsid w:val="00844A99"/>
    <w:rsid w:val="00863F6C"/>
    <w:rsid w:val="00864E50"/>
    <w:rsid w:val="008728A8"/>
    <w:rsid w:val="00873AE3"/>
    <w:rsid w:val="00895FD2"/>
    <w:rsid w:val="008978AA"/>
    <w:rsid w:val="008A6FE6"/>
    <w:rsid w:val="008B5098"/>
    <w:rsid w:val="008D288F"/>
    <w:rsid w:val="008D723B"/>
    <w:rsid w:val="008E4269"/>
    <w:rsid w:val="008E6EF0"/>
    <w:rsid w:val="008F2739"/>
    <w:rsid w:val="008F304C"/>
    <w:rsid w:val="009344AC"/>
    <w:rsid w:val="009366FC"/>
    <w:rsid w:val="00947D85"/>
    <w:rsid w:val="00976D1D"/>
    <w:rsid w:val="00992D32"/>
    <w:rsid w:val="0099735B"/>
    <w:rsid w:val="009C0DF0"/>
    <w:rsid w:val="009D0B20"/>
    <w:rsid w:val="009D2A75"/>
    <w:rsid w:val="009D30CF"/>
    <w:rsid w:val="009D3BA1"/>
    <w:rsid w:val="009D4C99"/>
    <w:rsid w:val="009D56F0"/>
    <w:rsid w:val="00A05CED"/>
    <w:rsid w:val="00A1379B"/>
    <w:rsid w:val="00A3413B"/>
    <w:rsid w:val="00A40080"/>
    <w:rsid w:val="00A42ABD"/>
    <w:rsid w:val="00A547EF"/>
    <w:rsid w:val="00A61B0F"/>
    <w:rsid w:val="00A67EDD"/>
    <w:rsid w:val="00A7742B"/>
    <w:rsid w:val="00A83E44"/>
    <w:rsid w:val="00A855D3"/>
    <w:rsid w:val="00A912CC"/>
    <w:rsid w:val="00A979FE"/>
    <w:rsid w:val="00AA1D36"/>
    <w:rsid w:val="00AA1D88"/>
    <w:rsid w:val="00AA32CF"/>
    <w:rsid w:val="00AC4024"/>
    <w:rsid w:val="00AC62E5"/>
    <w:rsid w:val="00AD0A4D"/>
    <w:rsid w:val="00AE3AD7"/>
    <w:rsid w:val="00AF0AD9"/>
    <w:rsid w:val="00AF32C7"/>
    <w:rsid w:val="00AF4D9E"/>
    <w:rsid w:val="00B0508D"/>
    <w:rsid w:val="00B077F7"/>
    <w:rsid w:val="00B15361"/>
    <w:rsid w:val="00B21BE4"/>
    <w:rsid w:val="00B33E9E"/>
    <w:rsid w:val="00B47188"/>
    <w:rsid w:val="00B528FF"/>
    <w:rsid w:val="00B66345"/>
    <w:rsid w:val="00B76A6F"/>
    <w:rsid w:val="00B77541"/>
    <w:rsid w:val="00B83A56"/>
    <w:rsid w:val="00BA5A09"/>
    <w:rsid w:val="00BB432E"/>
    <w:rsid w:val="00BC0E74"/>
    <w:rsid w:val="00BC4EBD"/>
    <w:rsid w:val="00BD45E3"/>
    <w:rsid w:val="00BD4DDD"/>
    <w:rsid w:val="00BE4C59"/>
    <w:rsid w:val="00BE6293"/>
    <w:rsid w:val="00BF3C2B"/>
    <w:rsid w:val="00BF3CD0"/>
    <w:rsid w:val="00BF6DE1"/>
    <w:rsid w:val="00C01A8C"/>
    <w:rsid w:val="00C16139"/>
    <w:rsid w:val="00C2194D"/>
    <w:rsid w:val="00C244D9"/>
    <w:rsid w:val="00C27AF0"/>
    <w:rsid w:val="00C3187B"/>
    <w:rsid w:val="00C36A43"/>
    <w:rsid w:val="00C61B16"/>
    <w:rsid w:val="00C646C8"/>
    <w:rsid w:val="00C678B2"/>
    <w:rsid w:val="00C748FD"/>
    <w:rsid w:val="00C74D8B"/>
    <w:rsid w:val="00C86A2A"/>
    <w:rsid w:val="00CA402E"/>
    <w:rsid w:val="00CB6AED"/>
    <w:rsid w:val="00CC291B"/>
    <w:rsid w:val="00CD28E2"/>
    <w:rsid w:val="00CD7750"/>
    <w:rsid w:val="00CE23A5"/>
    <w:rsid w:val="00CE6436"/>
    <w:rsid w:val="00D02A16"/>
    <w:rsid w:val="00D03736"/>
    <w:rsid w:val="00D05669"/>
    <w:rsid w:val="00D0703A"/>
    <w:rsid w:val="00D079B8"/>
    <w:rsid w:val="00D14B7F"/>
    <w:rsid w:val="00D21CCC"/>
    <w:rsid w:val="00D30E40"/>
    <w:rsid w:val="00D35383"/>
    <w:rsid w:val="00D376C2"/>
    <w:rsid w:val="00D5310E"/>
    <w:rsid w:val="00D644F9"/>
    <w:rsid w:val="00D951DE"/>
    <w:rsid w:val="00D96995"/>
    <w:rsid w:val="00D97408"/>
    <w:rsid w:val="00DA1180"/>
    <w:rsid w:val="00DB2276"/>
    <w:rsid w:val="00DC0A1A"/>
    <w:rsid w:val="00DC5F90"/>
    <w:rsid w:val="00DF674E"/>
    <w:rsid w:val="00E0400C"/>
    <w:rsid w:val="00E1370F"/>
    <w:rsid w:val="00E27278"/>
    <w:rsid w:val="00E425E7"/>
    <w:rsid w:val="00E520B3"/>
    <w:rsid w:val="00E66523"/>
    <w:rsid w:val="00E744E5"/>
    <w:rsid w:val="00E824E3"/>
    <w:rsid w:val="00E870B4"/>
    <w:rsid w:val="00EA4273"/>
    <w:rsid w:val="00EA6E58"/>
    <w:rsid w:val="00EA78B4"/>
    <w:rsid w:val="00EC5BDE"/>
    <w:rsid w:val="00F11F59"/>
    <w:rsid w:val="00F22C00"/>
    <w:rsid w:val="00F255E7"/>
    <w:rsid w:val="00F260CA"/>
    <w:rsid w:val="00F30B83"/>
    <w:rsid w:val="00F3286C"/>
    <w:rsid w:val="00F33258"/>
    <w:rsid w:val="00F41CEE"/>
    <w:rsid w:val="00F448FF"/>
    <w:rsid w:val="00F6074C"/>
    <w:rsid w:val="00F60988"/>
    <w:rsid w:val="00F62F4C"/>
    <w:rsid w:val="00F93E55"/>
    <w:rsid w:val="00FA539B"/>
    <w:rsid w:val="00FB02F2"/>
    <w:rsid w:val="00FB17D1"/>
    <w:rsid w:val="00FB3674"/>
    <w:rsid w:val="00FC1A74"/>
    <w:rsid w:val="00FC5167"/>
    <w:rsid w:val="00FC586C"/>
    <w:rsid w:val="00FD6E64"/>
    <w:rsid w:val="00FD73AB"/>
    <w:rsid w:val="00FE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CADD7-0345-4A72-AE2C-B6DA30E4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0E"/>
    <w:pPr>
      <w:ind w:left="720"/>
      <w:contextualSpacing/>
    </w:pPr>
  </w:style>
  <w:style w:type="character" w:customStyle="1" w:styleId="legds2">
    <w:name w:val="legds2"/>
    <w:basedOn w:val="DefaultParagraphFont"/>
    <w:rsid w:val="00CE23A5"/>
    <w:rPr>
      <w:vanish w:val="0"/>
      <w:webHidden w:val="0"/>
      <w:specVanish w:val="0"/>
    </w:rPr>
  </w:style>
  <w:style w:type="paragraph" w:customStyle="1" w:styleId="legrhs1">
    <w:name w:val="legrhs1"/>
    <w:basedOn w:val="Normal"/>
    <w:rsid w:val="009D4C99"/>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9D4C99"/>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noteText">
    <w:name w:val="footnote text"/>
    <w:basedOn w:val="Normal"/>
    <w:link w:val="FootnoteTextChar"/>
    <w:uiPriority w:val="99"/>
    <w:unhideWhenUsed/>
    <w:rsid w:val="00707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196"/>
    <w:rPr>
      <w:sz w:val="20"/>
      <w:szCs w:val="20"/>
    </w:rPr>
  </w:style>
  <w:style w:type="character" w:styleId="FootnoteReference">
    <w:name w:val="footnote reference"/>
    <w:basedOn w:val="DefaultParagraphFont"/>
    <w:uiPriority w:val="99"/>
    <w:semiHidden/>
    <w:unhideWhenUsed/>
    <w:rsid w:val="00707196"/>
    <w:rPr>
      <w:vertAlign w:val="superscript"/>
    </w:rPr>
  </w:style>
  <w:style w:type="character" w:styleId="Hyperlink">
    <w:name w:val="Hyperlink"/>
    <w:basedOn w:val="DefaultParagraphFont"/>
    <w:uiPriority w:val="99"/>
    <w:unhideWhenUsed/>
    <w:rsid w:val="007541B7"/>
    <w:rPr>
      <w:color w:val="0000FF" w:themeColor="hyperlink"/>
      <w:u w:val="single"/>
    </w:rPr>
  </w:style>
  <w:style w:type="paragraph" w:styleId="Header">
    <w:name w:val="header"/>
    <w:basedOn w:val="Normal"/>
    <w:link w:val="HeaderChar"/>
    <w:uiPriority w:val="99"/>
    <w:unhideWhenUsed/>
    <w:rsid w:val="0063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F0"/>
  </w:style>
  <w:style w:type="paragraph" w:styleId="Footer">
    <w:name w:val="footer"/>
    <w:basedOn w:val="Normal"/>
    <w:link w:val="FooterChar"/>
    <w:uiPriority w:val="99"/>
    <w:unhideWhenUsed/>
    <w:rsid w:val="0063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8F0"/>
  </w:style>
  <w:style w:type="paragraph" w:styleId="BalloonText">
    <w:name w:val="Balloon Text"/>
    <w:basedOn w:val="Normal"/>
    <w:link w:val="BalloonTextChar"/>
    <w:uiPriority w:val="99"/>
    <w:semiHidden/>
    <w:unhideWhenUsed/>
    <w:rsid w:val="0063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8F0"/>
    <w:rPr>
      <w:rFonts w:ascii="Tahoma" w:hAnsi="Tahoma" w:cs="Tahoma"/>
      <w:sz w:val="16"/>
      <w:szCs w:val="16"/>
    </w:rPr>
  </w:style>
  <w:style w:type="character" w:styleId="CommentReference">
    <w:name w:val="annotation reference"/>
    <w:basedOn w:val="DefaultParagraphFont"/>
    <w:uiPriority w:val="99"/>
    <w:semiHidden/>
    <w:unhideWhenUsed/>
    <w:rsid w:val="00FD6E64"/>
    <w:rPr>
      <w:sz w:val="16"/>
      <w:szCs w:val="16"/>
    </w:rPr>
  </w:style>
  <w:style w:type="paragraph" w:styleId="CommentText">
    <w:name w:val="annotation text"/>
    <w:basedOn w:val="Normal"/>
    <w:link w:val="CommentTextChar"/>
    <w:uiPriority w:val="99"/>
    <w:semiHidden/>
    <w:unhideWhenUsed/>
    <w:rsid w:val="00FD6E64"/>
    <w:pPr>
      <w:spacing w:line="240" w:lineRule="auto"/>
    </w:pPr>
    <w:rPr>
      <w:sz w:val="20"/>
      <w:szCs w:val="20"/>
    </w:rPr>
  </w:style>
  <w:style w:type="character" w:customStyle="1" w:styleId="CommentTextChar">
    <w:name w:val="Comment Text Char"/>
    <w:basedOn w:val="DefaultParagraphFont"/>
    <w:link w:val="CommentText"/>
    <w:uiPriority w:val="99"/>
    <w:semiHidden/>
    <w:rsid w:val="00FD6E64"/>
    <w:rPr>
      <w:sz w:val="20"/>
      <w:szCs w:val="20"/>
    </w:rPr>
  </w:style>
  <w:style w:type="paragraph" w:styleId="CommentSubject">
    <w:name w:val="annotation subject"/>
    <w:basedOn w:val="CommentText"/>
    <w:next w:val="CommentText"/>
    <w:link w:val="CommentSubjectChar"/>
    <w:uiPriority w:val="99"/>
    <w:semiHidden/>
    <w:unhideWhenUsed/>
    <w:rsid w:val="00FD6E64"/>
    <w:rPr>
      <w:b/>
      <w:bCs/>
    </w:rPr>
  </w:style>
  <w:style w:type="character" w:customStyle="1" w:styleId="CommentSubjectChar">
    <w:name w:val="Comment Subject Char"/>
    <w:basedOn w:val="CommentTextChar"/>
    <w:link w:val="CommentSubject"/>
    <w:uiPriority w:val="99"/>
    <w:semiHidden/>
    <w:rsid w:val="00FD6E64"/>
    <w:rPr>
      <w:b/>
      <w:bCs/>
      <w:sz w:val="20"/>
      <w:szCs w:val="20"/>
    </w:rPr>
  </w:style>
  <w:style w:type="table" w:styleId="TableGrid">
    <w:name w:val="Table Grid"/>
    <w:basedOn w:val="TableNormal"/>
    <w:uiPriority w:val="59"/>
    <w:rsid w:val="008A6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C0E7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A647E"/>
    <w:pPr>
      <w:autoSpaceDE w:val="0"/>
      <w:autoSpaceDN w:val="0"/>
      <w:adjustRightInd w:val="0"/>
      <w:spacing w:after="0" w:line="240" w:lineRule="auto"/>
    </w:pPr>
    <w:rPr>
      <w:rFonts w:ascii="Calibri" w:hAnsi="Calibri" w:cs="Calibri"/>
      <w:color w:val="000000"/>
      <w:sz w:val="24"/>
      <w:szCs w:val="24"/>
    </w:rPr>
  </w:style>
  <w:style w:type="paragraph" w:customStyle="1" w:styleId="QUICKGUIDEtext">
    <w:name w:val="QUICK GUIDE text"/>
    <w:basedOn w:val="Normal"/>
    <w:link w:val="QUICKGUIDEtextChar"/>
    <w:rsid w:val="005A647E"/>
    <w:pPr>
      <w:autoSpaceDE w:val="0"/>
      <w:autoSpaceDN w:val="0"/>
      <w:adjustRightInd w:val="0"/>
      <w:spacing w:before="40" w:after="40" w:line="264" w:lineRule="auto"/>
    </w:pPr>
    <w:rPr>
      <w:rFonts w:ascii="Cynulliad Sans" w:eastAsia="Times New Roman" w:hAnsi="Cynulliad Sans" w:cs="Arial Bold"/>
      <w:bCs/>
      <w:color w:val="000000"/>
      <w:sz w:val="23"/>
      <w:szCs w:val="23"/>
    </w:rPr>
  </w:style>
  <w:style w:type="character" w:customStyle="1" w:styleId="QUICKGUIDEtextChar">
    <w:name w:val="QUICK GUIDE text Char"/>
    <w:link w:val="QUICKGUIDEtext"/>
    <w:rsid w:val="005A647E"/>
    <w:rPr>
      <w:rFonts w:ascii="Cynulliad Sans" w:eastAsia="Times New Roman" w:hAnsi="Cynulliad Sans" w:cs="Arial Bold"/>
      <w:bCs/>
      <w:color w:val="000000"/>
      <w:sz w:val="23"/>
      <w:szCs w:val="23"/>
    </w:rPr>
  </w:style>
  <w:style w:type="paragraph" w:customStyle="1" w:styleId="QUICKGUIDEbulletlist">
    <w:name w:val="QUICK GUIDE bullet list"/>
    <w:rsid w:val="005A647E"/>
    <w:pPr>
      <w:numPr>
        <w:numId w:val="4"/>
      </w:numPr>
      <w:spacing w:before="120" w:after="120" w:line="288" w:lineRule="auto"/>
    </w:pPr>
    <w:rPr>
      <w:rFonts w:ascii="Cynulliad Sans" w:eastAsia="Times New Roman" w:hAnsi="Cynulliad Sans" w:cs="Times New Roman"/>
      <w:sz w:val="23"/>
      <w:szCs w:val="24"/>
      <w:lang w:eastAsia="en-GB"/>
    </w:rPr>
  </w:style>
  <w:style w:type="paragraph" w:customStyle="1" w:styleId="RESEARCHPAPERtext">
    <w:name w:val="RESEARCH PAPER text"/>
    <w:basedOn w:val="Normal"/>
    <w:rsid w:val="005A647E"/>
    <w:pPr>
      <w:tabs>
        <w:tab w:val="left" w:pos="567"/>
      </w:tabs>
      <w:spacing w:before="120" w:after="120" w:line="288" w:lineRule="auto"/>
    </w:pPr>
    <w:rPr>
      <w:rFonts w:ascii="Lucida Sans" w:eastAsia="Times New Roman" w:hAnsi="Lucida Sans" w:cs="Times New Roman"/>
      <w:sz w:val="24"/>
      <w:lang w:eastAsia="en-GB"/>
    </w:rPr>
  </w:style>
  <w:style w:type="character" w:styleId="FollowedHyperlink">
    <w:name w:val="FollowedHyperlink"/>
    <w:basedOn w:val="DefaultParagraphFont"/>
    <w:uiPriority w:val="99"/>
    <w:semiHidden/>
    <w:unhideWhenUsed/>
    <w:rsid w:val="009D56F0"/>
    <w:rPr>
      <w:color w:val="800080" w:themeColor="followedHyperlink"/>
      <w:u w:val="single"/>
    </w:rPr>
  </w:style>
  <w:style w:type="paragraph" w:customStyle="1" w:styleId="Pa6">
    <w:name w:val="Pa6"/>
    <w:basedOn w:val="Default"/>
    <w:next w:val="Default"/>
    <w:uiPriority w:val="99"/>
    <w:rsid w:val="00E744E5"/>
    <w:pPr>
      <w:spacing w:line="261" w:lineRule="atLeast"/>
    </w:pPr>
    <w:rPr>
      <w:rFonts w:ascii="FS Lola" w:hAnsi="FS Lola" w:cstheme="minorBidi"/>
      <w:color w:val="auto"/>
    </w:rPr>
  </w:style>
  <w:style w:type="paragraph" w:customStyle="1" w:styleId="Pa7">
    <w:name w:val="Pa7"/>
    <w:basedOn w:val="Default"/>
    <w:next w:val="Default"/>
    <w:uiPriority w:val="99"/>
    <w:rsid w:val="00E744E5"/>
    <w:pPr>
      <w:spacing w:line="191" w:lineRule="atLeast"/>
    </w:pPr>
    <w:rPr>
      <w:rFonts w:ascii="FS Lola" w:hAnsi="FS Lola" w:cstheme="minorBidi"/>
      <w:color w:val="auto"/>
    </w:rPr>
  </w:style>
  <w:style w:type="character" w:customStyle="1" w:styleId="A9">
    <w:name w:val="A9"/>
    <w:uiPriority w:val="99"/>
    <w:rsid w:val="00E744E5"/>
    <w:rPr>
      <w:rFonts w:cs="FS Lola"/>
      <w:color w:val="000000"/>
      <w:sz w:val="11"/>
      <w:szCs w:val="11"/>
    </w:rPr>
  </w:style>
  <w:style w:type="paragraph" w:customStyle="1" w:styleId="Pa8">
    <w:name w:val="Pa8"/>
    <w:basedOn w:val="Default"/>
    <w:next w:val="Default"/>
    <w:uiPriority w:val="99"/>
    <w:rsid w:val="00E744E5"/>
    <w:pPr>
      <w:spacing w:line="191" w:lineRule="atLeast"/>
    </w:pPr>
    <w:rPr>
      <w:rFonts w:ascii="FS Lola" w:hAnsi="FS Lola" w:cstheme="minorBidi"/>
      <w:color w:val="auto"/>
    </w:rPr>
  </w:style>
  <w:style w:type="paragraph" w:customStyle="1" w:styleId="Pa11">
    <w:name w:val="Pa11"/>
    <w:basedOn w:val="Default"/>
    <w:next w:val="Default"/>
    <w:uiPriority w:val="99"/>
    <w:rsid w:val="00E744E5"/>
    <w:pPr>
      <w:spacing w:line="261" w:lineRule="atLeast"/>
    </w:pPr>
    <w:rPr>
      <w:rFonts w:ascii="FS Lola" w:hAnsi="FS Lola" w:cstheme="minorBidi"/>
      <w:color w:val="auto"/>
    </w:rPr>
  </w:style>
  <w:style w:type="paragraph" w:customStyle="1" w:styleId="Pa13">
    <w:name w:val="Pa13"/>
    <w:basedOn w:val="Default"/>
    <w:next w:val="Default"/>
    <w:uiPriority w:val="99"/>
    <w:rsid w:val="00E744E5"/>
    <w:pPr>
      <w:spacing w:line="215" w:lineRule="atLeast"/>
    </w:pPr>
    <w:rPr>
      <w:rFonts w:ascii="FS Lola" w:hAnsi="FS Lola" w:cstheme="minorBidi"/>
      <w:color w:val="auto"/>
    </w:rPr>
  </w:style>
  <w:style w:type="character" w:customStyle="1" w:styleId="A11">
    <w:name w:val="A11"/>
    <w:uiPriority w:val="99"/>
    <w:rsid w:val="00E744E5"/>
    <w:rPr>
      <w:rFonts w:ascii="FS Lola ExtraBold" w:hAnsi="FS Lola ExtraBold" w:cs="FS Lola ExtraBold"/>
      <w:color w:val="000000"/>
      <w:sz w:val="15"/>
      <w:szCs w:val="15"/>
    </w:rPr>
  </w:style>
  <w:style w:type="character" w:customStyle="1" w:styleId="A13">
    <w:name w:val="A13"/>
    <w:uiPriority w:val="99"/>
    <w:rsid w:val="000D2DC1"/>
    <w:rPr>
      <w:rFonts w:cs="FS Lola"/>
      <w:color w:val="000000"/>
      <w:sz w:val="19"/>
      <w:szCs w:val="19"/>
      <w:u w:val="single"/>
    </w:rPr>
  </w:style>
  <w:style w:type="character" w:customStyle="1" w:styleId="FootnoteTextChar1">
    <w:name w:val="Footnote Text Char1"/>
    <w:semiHidden/>
    <w:rsid w:val="00BE6293"/>
    <w:rPr>
      <w:rFonts w:ascii="Times" w:hAnsi="Times"/>
      <w:lang w:eastAsia="en-US"/>
    </w:rPr>
  </w:style>
  <w:style w:type="paragraph" w:styleId="NormalWeb">
    <w:name w:val="Normal (Web)"/>
    <w:basedOn w:val="Normal"/>
    <w:uiPriority w:val="99"/>
    <w:unhideWhenUsed/>
    <w:rsid w:val="00C3187B"/>
    <w:pPr>
      <w:spacing w:after="202" w:line="240" w:lineRule="auto"/>
    </w:pPr>
    <w:rPr>
      <w:rFonts w:ascii="inherit" w:eastAsia="Times New Roman" w:hAnsi="inherit"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37353">
      <w:bodyDiv w:val="1"/>
      <w:marLeft w:val="0"/>
      <w:marRight w:val="0"/>
      <w:marTop w:val="0"/>
      <w:marBottom w:val="0"/>
      <w:divBdr>
        <w:top w:val="none" w:sz="0" w:space="0" w:color="auto"/>
        <w:left w:val="none" w:sz="0" w:space="0" w:color="auto"/>
        <w:bottom w:val="none" w:sz="0" w:space="0" w:color="auto"/>
        <w:right w:val="none" w:sz="0" w:space="0" w:color="auto"/>
      </w:divBdr>
    </w:div>
    <w:div w:id="1878197341">
      <w:bodyDiv w:val="1"/>
      <w:marLeft w:val="0"/>
      <w:marRight w:val="0"/>
      <w:marTop w:val="0"/>
      <w:marBottom w:val="0"/>
      <w:divBdr>
        <w:top w:val="none" w:sz="0" w:space="0" w:color="auto"/>
        <w:left w:val="none" w:sz="0" w:space="0" w:color="auto"/>
        <w:bottom w:val="none" w:sz="0" w:space="0" w:color="auto"/>
        <w:right w:val="none" w:sz="0" w:space="0" w:color="auto"/>
      </w:divBdr>
    </w:div>
    <w:div w:id="2024429526">
      <w:bodyDiv w:val="1"/>
      <w:marLeft w:val="0"/>
      <w:marRight w:val="0"/>
      <w:marTop w:val="0"/>
      <w:marBottom w:val="0"/>
      <w:divBdr>
        <w:top w:val="none" w:sz="0" w:space="0" w:color="auto"/>
        <w:left w:val="none" w:sz="0" w:space="0" w:color="auto"/>
        <w:bottom w:val="none" w:sz="0" w:space="0" w:color="auto"/>
        <w:right w:val="none" w:sz="0" w:space="0" w:color="auto"/>
      </w:divBdr>
      <w:divsChild>
        <w:div w:id="300119528">
          <w:marLeft w:val="0"/>
          <w:marRight w:val="0"/>
          <w:marTop w:val="0"/>
          <w:marBottom w:val="0"/>
          <w:divBdr>
            <w:top w:val="none" w:sz="0" w:space="0" w:color="auto"/>
            <w:left w:val="none" w:sz="0" w:space="0" w:color="auto"/>
            <w:bottom w:val="none" w:sz="0" w:space="0" w:color="auto"/>
            <w:right w:val="none" w:sz="0" w:space="0" w:color="auto"/>
          </w:divBdr>
          <w:divsChild>
            <w:div w:id="378164464">
              <w:marLeft w:val="0"/>
              <w:marRight w:val="0"/>
              <w:marTop w:val="0"/>
              <w:marBottom w:val="0"/>
              <w:divBdr>
                <w:top w:val="single" w:sz="2" w:space="0" w:color="FFFFFF"/>
                <w:left w:val="single" w:sz="6" w:space="0" w:color="FFFFFF"/>
                <w:bottom w:val="single" w:sz="6" w:space="0" w:color="FFFFFF"/>
                <w:right w:val="single" w:sz="6" w:space="0" w:color="FFFFFF"/>
              </w:divBdr>
              <w:divsChild>
                <w:div w:id="944314430">
                  <w:marLeft w:val="0"/>
                  <w:marRight w:val="0"/>
                  <w:marTop w:val="0"/>
                  <w:marBottom w:val="0"/>
                  <w:divBdr>
                    <w:top w:val="single" w:sz="6" w:space="1" w:color="D3D3D3"/>
                    <w:left w:val="none" w:sz="0" w:space="0" w:color="auto"/>
                    <w:bottom w:val="none" w:sz="0" w:space="0" w:color="auto"/>
                    <w:right w:val="none" w:sz="0" w:space="0" w:color="auto"/>
                  </w:divBdr>
                  <w:divsChild>
                    <w:div w:id="1503812702">
                      <w:marLeft w:val="0"/>
                      <w:marRight w:val="0"/>
                      <w:marTop w:val="0"/>
                      <w:marBottom w:val="0"/>
                      <w:divBdr>
                        <w:top w:val="none" w:sz="0" w:space="0" w:color="auto"/>
                        <w:left w:val="none" w:sz="0" w:space="0" w:color="auto"/>
                        <w:bottom w:val="none" w:sz="0" w:space="0" w:color="auto"/>
                        <w:right w:val="none" w:sz="0" w:space="0" w:color="auto"/>
                      </w:divBdr>
                      <w:divsChild>
                        <w:div w:id="834878117">
                          <w:marLeft w:val="0"/>
                          <w:marRight w:val="0"/>
                          <w:marTop w:val="0"/>
                          <w:marBottom w:val="0"/>
                          <w:divBdr>
                            <w:top w:val="none" w:sz="0" w:space="0" w:color="auto"/>
                            <w:left w:val="none" w:sz="0" w:space="0" w:color="auto"/>
                            <w:bottom w:val="none" w:sz="0" w:space="0" w:color="auto"/>
                            <w:right w:val="none" w:sz="0" w:space="0" w:color="auto"/>
                          </w:divBdr>
                          <w:divsChild>
                            <w:div w:id="1124421372">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an.bermingham@cipf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peebles@cipf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pfa.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tv.tv/news/politics/1362066-holyrood-may-need-new-funding-model-due-to-brexit-msps-told/" TargetMode="External"/><Relationship Id="rId13" Type="http://schemas.openxmlformats.org/officeDocument/2006/relationships/hyperlink" Target="http://www.publications.parliament.uk/pa/cm201314/cmselect/cmcomloc/712/712.pdf" TargetMode="External"/><Relationship Id="rId18" Type="http://schemas.openxmlformats.org/officeDocument/2006/relationships/hyperlink" Target="http://www.lawsociety.org.uk/News/documents/eu-and-the-legal-sector-October-2015/" TargetMode="External"/><Relationship Id="rId3" Type="http://schemas.openxmlformats.org/officeDocument/2006/relationships/hyperlink" Target="https://www.gov.uk/government/news/chancellor-philip-hammond-guarantees-eu-funding-beyond-date-uk-leaves-the-eu" TargetMode="External"/><Relationship Id="rId7" Type="http://schemas.openxmlformats.org/officeDocument/2006/relationships/hyperlink" Target="http://www.cipfa.org/cipfa-thinks/briefings-3" TargetMode="External"/><Relationship Id="rId12" Type="http://schemas.openxmlformats.org/officeDocument/2006/relationships/hyperlink" Target="http://www.bbc.co.uk/news/uk-politics-eu-referendum-36039925" TargetMode="External"/><Relationship Id="rId17" Type="http://schemas.openxmlformats.org/officeDocument/2006/relationships/hyperlink" Target="http://www.daviddavismp.com/david-davis-mp-delivers-speech-on-the-opportunities-for-a-referendum-on-europe/" TargetMode="External"/><Relationship Id="rId2" Type="http://schemas.openxmlformats.org/officeDocument/2006/relationships/hyperlink" Target="http://cep.lse.ac.uk/pubs/download/brexit02.pdf" TargetMode="External"/><Relationship Id="rId16" Type="http://schemas.openxmlformats.org/officeDocument/2006/relationships/hyperlink" Target="http://www.migrationobservatory.ox.ac.uk/resources/briefings/migrants-and-housing-in-the-uk-experiences-and-impacts/" TargetMode="External"/><Relationship Id="rId20" Type="http://schemas.openxmlformats.org/officeDocument/2006/relationships/hyperlink" Target="http://ec.europa.eu/programmes/horizon2020/en/what-horizon-2020" TargetMode="External"/><Relationship Id="rId1" Type="http://schemas.openxmlformats.org/officeDocument/2006/relationships/hyperlink" Target="https://www.gov.uk/government/publications/hm-treasury-analysis-the-long-term-economic-impact-of-eu-membership-and-the-alternatives" TargetMode="External"/><Relationship Id="rId6" Type="http://schemas.openxmlformats.org/officeDocument/2006/relationships/hyperlink" Target="http://www.ifs.org.uk/uploads/publications/bns/BN181.pdf" TargetMode="External"/><Relationship Id="rId11" Type="http://schemas.openxmlformats.org/officeDocument/2006/relationships/hyperlink" Target="http://www.migrationobservatory.ox.ac.uk/resources/primers/social-care-for-older-people-and-demand-for-migrant-workers/" TargetMode="External"/><Relationship Id="rId5" Type="http://schemas.openxmlformats.org/officeDocument/2006/relationships/hyperlink" Target="http://www.strongerin.co.uk/get_the_facts" TargetMode="External"/><Relationship Id="rId15" Type="http://schemas.openxmlformats.org/officeDocument/2006/relationships/hyperlink" Target="http://www.consult.environment-agency.gov.uk/file/3078881" TargetMode="External"/><Relationship Id="rId10" Type="http://schemas.openxmlformats.org/officeDocument/2006/relationships/hyperlink" Target="https://www.gov.uk/government/uploads/system/uploads/attachment_data/file/224715/2901083_EU-Health_acc.pdf" TargetMode="External"/><Relationship Id="rId19" Type="http://schemas.openxmlformats.org/officeDocument/2006/relationships/hyperlink" Target="https://www.timeshighereducation.com/world-university-rankings/best-universities-in-europe-2016" TargetMode="External"/><Relationship Id="rId4" Type="http://schemas.openxmlformats.org/officeDocument/2006/relationships/hyperlink" Target="http://www.voteleavetakecontrol.org/why_vote_leave.html" TargetMode="External"/><Relationship Id="rId9" Type="http://schemas.openxmlformats.org/officeDocument/2006/relationships/hyperlink" Target="http://www.cipfa.org/cipfa-thinks/manifesto2015" TargetMode="External"/><Relationship Id="rId14" Type="http://schemas.openxmlformats.org/officeDocument/2006/relationships/hyperlink" Target="https://www.theguardian.com/environment/2016/jan/21/for-a-clean-green-future-britain-must-remain-in-the-eu-mary-crea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7F8B-B849-4E33-A145-52695D5C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12</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Bermingham, Alan</dc:creator>
  <cp:lastModifiedBy>Bermingham, Alan</cp:lastModifiedBy>
  <cp:revision>32</cp:revision>
  <cp:lastPrinted>2016-09-05T13:57:00Z</cp:lastPrinted>
  <dcterms:created xsi:type="dcterms:W3CDTF">2016-09-01T09:26:00Z</dcterms:created>
  <dcterms:modified xsi:type="dcterms:W3CDTF">2016-09-05T14:28:00Z</dcterms:modified>
</cp:coreProperties>
</file>