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86C6" w14:textId="77777777" w:rsidR="00856149" w:rsidRPr="00856149" w:rsidRDefault="00856149" w:rsidP="00856149">
      <w:pPr>
        <w:jc w:val="center"/>
        <w:rPr>
          <w:rFonts w:ascii="Arial" w:eastAsia="Calibri" w:hAnsi="Arial" w:cs="Arial"/>
        </w:rPr>
      </w:pPr>
      <w:bookmarkStart w:id="0" w:name="_Hlk67063749"/>
      <w:bookmarkStart w:id="1" w:name="PPEforPoliceBodies"/>
      <w:bookmarkStart w:id="2" w:name="_Hlk76636843"/>
      <w:bookmarkEnd w:id="2"/>
    </w:p>
    <w:p w14:paraId="535F2F0C" w14:textId="77777777" w:rsidR="00856149" w:rsidRPr="00856149" w:rsidRDefault="00856149" w:rsidP="00856149">
      <w:pPr>
        <w:jc w:val="center"/>
        <w:rPr>
          <w:rFonts w:ascii="Arial" w:eastAsia="Calibri" w:hAnsi="Arial" w:cs="Arial"/>
        </w:rPr>
      </w:pPr>
    </w:p>
    <w:p w14:paraId="059CC664" w14:textId="77777777" w:rsidR="00856149" w:rsidRPr="00856149" w:rsidRDefault="00856149" w:rsidP="00856149">
      <w:pPr>
        <w:jc w:val="center"/>
        <w:rPr>
          <w:rFonts w:ascii="Arial" w:eastAsia="Calibri" w:hAnsi="Arial" w:cs="Arial"/>
        </w:rPr>
      </w:pPr>
      <w:r w:rsidRPr="00856149">
        <w:rPr>
          <w:rFonts w:ascii="Arial" w:eastAsia="Calibri" w:hAnsi="Arial" w:cs="Arial"/>
        </w:rPr>
        <w:object w:dxaOrig="7125" w:dyaOrig="3060" w14:anchorId="59371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8pt;height:79.8pt" o:ole="">
            <v:imagedata r:id="rId9" o:title=""/>
          </v:shape>
          <o:OLEObject Type="Embed" ProgID="PBrush" ShapeID="_x0000_i1025" DrawAspect="Content" ObjectID="_1687250433" r:id="rId10"/>
        </w:object>
      </w:r>
    </w:p>
    <w:p w14:paraId="6A739470" w14:textId="77777777" w:rsidR="00856149" w:rsidRPr="00856149" w:rsidRDefault="00856149" w:rsidP="00856149">
      <w:pPr>
        <w:jc w:val="both"/>
        <w:rPr>
          <w:rFonts w:ascii="Arial" w:eastAsia="Calibri" w:hAnsi="Arial" w:cs="Arial"/>
        </w:rPr>
      </w:pPr>
    </w:p>
    <w:p w14:paraId="6F1269AC" w14:textId="77777777" w:rsidR="00856149" w:rsidRPr="00856149" w:rsidRDefault="00856149" w:rsidP="00856149">
      <w:pPr>
        <w:spacing w:after="0" w:line="240" w:lineRule="auto"/>
        <w:jc w:val="both"/>
        <w:rPr>
          <w:rFonts w:ascii="Arial" w:eastAsia="Times New Roman" w:hAnsi="Arial" w:cs="Arial"/>
          <w:b/>
          <w:sz w:val="60"/>
          <w:szCs w:val="20"/>
          <w:lang w:val="en-US"/>
        </w:rPr>
      </w:pPr>
    </w:p>
    <w:p w14:paraId="306CD549" w14:textId="77777777" w:rsidR="00856149" w:rsidRPr="00856149" w:rsidRDefault="00856149" w:rsidP="00856149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val="en-US"/>
        </w:rPr>
      </w:pPr>
    </w:p>
    <w:p w14:paraId="5A3F1747" w14:textId="48DA556F" w:rsidR="00856149" w:rsidRPr="00856149" w:rsidRDefault="00856149" w:rsidP="00856149">
      <w:pPr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</w:rPr>
      </w:pPr>
      <w:r w:rsidRPr="00856149">
        <w:rPr>
          <w:rFonts w:ascii="Arial" w:eastAsia="Times New Roman" w:hAnsi="Arial" w:cs="Arial"/>
          <w:b/>
          <w:bCs/>
          <w:sz w:val="48"/>
          <w:szCs w:val="48"/>
          <w:u w:val="single"/>
        </w:rPr>
        <w:t>Addendum</w:t>
      </w:r>
      <w:r>
        <w:rPr>
          <w:rFonts w:ascii="Arial" w:eastAsia="Times New Roman" w:hAnsi="Arial" w:cs="Arial"/>
          <w:b/>
          <w:bCs/>
          <w:sz w:val="48"/>
          <w:szCs w:val="48"/>
        </w:rPr>
        <w:t xml:space="preserve"> to the </w:t>
      </w:r>
      <w:r w:rsidRPr="00856149">
        <w:rPr>
          <w:rFonts w:ascii="Arial" w:eastAsia="Times New Roman" w:hAnsi="Arial" w:cs="Arial"/>
          <w:b/>
          <w:bCs/>
          <w:sz w:val="48"/>
          <w:szCs w:val="48"/>
        </w:rPr>
        <w:t>Guidance on Accounting for Coronavirus (COVID-19) Grants / Funding Streams</w:t>
      </w:r>
    </w:p>
    <w:p w14:paraId="416CDCC1" w14:textId="77777777" w:rsidR="00856149" w:rsidRPr="00856149" w:rsidRDefault="00856149" w:rsidP="00856149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val="en-US"/>
        </w:rPr>
      </w:pPr>
    </w:p>
    <w:p w14:paraId="0C38FE0F" w14:textId="77777777" w:rsidR="00856149" w:rsidRPr="00856149" w:rsidRDefault="00856149" w:rsidP="00856149">
      <w:pPr>
        <w:spacing w:after="0" w:line="240" w:lineRule="auto"/>
        <w:rPr>
          <w:rFonts w:ascii="Arial" w:eastAsia="Times New Roman" w:hAnsi="Arial" w:cs="Arial"/>
          <w:b/>
          <w:sz w:val="60"/>
          <w:szCs w:val="20"/>
          <w:lang w:val="en-US"/>
        </w:rPr>
      </w:pPr>
    </w:p>
    <w:p w14:paraId="017741EC" w14:textId="77777777" w:rsidR="00856149" w:rsidRPr="00856149" w:rsidRDefault="00856149" w:rsidP="00856149">
      <w:pPr>
        <w:rPr>
          <w:rFonts w:ascii="Arial" w:eastAsia="Calibri" w:hAnsi="Arial" w:cs="Arial"/>
          <w:u w:val="single"/>
          <w:lang w:val="en-US"/>
        </w:rPr>
      </w:pPr>
      <w:r w:rsidRPr="00856149">
        <w:rPr>
          <w:rFonts w:ascii="Arial" w:eastAsia="Calibri" w:hAnsi="Arial" w:cs="Arial"/>
          <w:u w:val="single"/>
        </w:rPr>
        <w:br w:type="page"/>
      </w:r>
    </w:p>
    <w:p w14:paraId="57289E40" w14:textId="77777777" w:rsidR="00856149" w:rsidRPr="00856149" w:rsidRDefault="00856149" w:rsidP="0085614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</w:rPr>
      </w:pPr>
      <w:r w:rsidRPr="00856149">
        <w:rPr>
          <w:rFonts w:ascii="Arial" w:eastAsia="Calibri" w:hAnsi="Arial" w:cs="Arial"/>
          <w:u w:val="single"/>
        </w:rPr>
        <w:lastRenderedPageBreak/>
        <w:t>LASAAC is funded by:</w:t>
      </w:r>
    </w:p>
    <w:p w14:paraId="4C4BDAD6" w14:textId="77777777" w:rsidR="00856149" w:rsidRPr="00856149" w:rsidRDefault="00856149" w:rsidP="0085614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15172407" w14:textId="77777777" w:rsidR="00856149" w:rsidRPr="00856149" w:rsidRDefault="00856149" w:rsidP="00856149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</w:rPr>
      </w:pPr>
      <w:r w:rsidRPr="00856149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70B7C5C9" wp14:editId="40BE414E">
            <wp:extent cx="2179320" cy="419100"/>
            <wp:effectExtent l="0" t="0" r="3810" b="0"/>
            <wp:docPr id="2" name="Picture 2" descr="AudScot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dScot logo 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149">
        <w:rPr>
          <w:rFonts w:ascii="Arial" w:eastAsia="Calibri" w:hAnsi="Arial" w:cs="Arial"/>
        </w:rPr>
        <w:t xml:space="preserve">                              </w:t>
      </w:r>
      <w:r w:rsidRPr="00856149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077ED32F" wp14:editId="27785C30">
            <wp:extent cx="2308860" cy="409575"/>
            <wp:effectExtent l="0" t="0" r="0" b="9525"/>
            <wp:docPr id="3" name="Picture 3" descr="Cipfa_corporat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pfa_corporate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E3AE" w14:textId="77777777" w:rsidR="00856149" w:rsidRPr="00856149" w:rsidRDefault="00856149" w:rsidP="00856149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56149">
        <w:rPr>
          <w:rFonts w:ascii="Arial" w:eastAsia="Calibri" w:hAnsi="Arial" w:cs="Arial"/>
        </w:rPr>
        <w:t xml:space="preserve">                                       </w:t>
      </w:r>
      <w:r w:rsidRPr="00856149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4F75540F" wp14:editId="6EEA8A8E">
            <wp:extent cx="2876550" cy="3143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149">
        <w:rPr>
          <w:rFonts w:ascii="Arial" w:eastAsia="Calibri" w:hAnsi="Arial" w:cs="Arial"/>
        </w:rPr>
        <w:tab/>
      </w:r>
      <w:r w:rsidRPr="00856149">
        <w:rPr>
          <w:rFonts w:ascii="Arial" w:eastAsia="Calibri" w:hAnsi="Arial" w:cs="Arial"/>
        </w:rPr>
        <w:tab/>
        <w:t xml:space="preserve"> </w:t>
      </w:r>
    </w:p>
    <w:p w14:paraId="7CA45A75" w14:textId="77777777" w:rsidR="00856149" w:rsidRPr="00856149" w:rsidRDefault="00856149" w:rsidP="00856149">
      <w:pPr>
        <w:jc w:val="both"/>
        <w:rPr>
          <w:rFonts w:ascii="Arial" w:eastAsia="Calibri" w:hAnsi="Arial" w:cs="Arial"/>
          <w:sz w:val="20"/>
          <w:szCs w:val="20"/>
        </w:rPr>
      </w:pPr>
    </w:p>
    <w:p w14:paraId="482F28F3" w14:textId="77777777" w:rsidR="00856149" w:rsidRPr="00856149" w:rsidRDefault="00856149" w:rsidP="00856149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856149" w:rsidRPr="00856149" w14:paraId="530C5CDC" w14:textId="77777777" w:rsidTr="006D76B1">
        <w:tc>
          <w:tcPr>
            <w:tcW w:w="8856" w:type="dxa"/>
          </w:tcPr>
          <w:p w14:paraId="5442C23A" w14:textId="77777777" w:rsidR="00856149" w:rsidRPr="00856149" w:rsidRDefault="00856149" w:rsidP="00856149">
            <w:pPr>
              <w:jc w:val="both"/>
              <w:rPr>
                <w:rFonts w:ascii="Arial" w:eastAsia="Calibri" w:hAnsi="Arial" w:cs="Arial"/>
                <w:bCs/>
                <w:lang w:val="en-US"/>
              </w:rPr>
            </w:pPr>
            <w:r w:rsidRPr="00856149">
              <w:rPr>
                <w:rFonts w:ascii="Arial" w:eastAsia="Calibri" w:hAnsi="Arial" w:cs="Arial"/>
                <w:bCs/>
                <w:lang w:val="en-US"/>
              </w:rPr>
              <w:t xml:space="preserve">LASAAC [The Local Authority (Scotland) Accounts Advisory Committee] is constituted of volunteer members, including representatives of the three funding bodies: CIPFA, Audit Scotland and the Scottish Government. LASAAC is primarily concerned with the development and promotion of proper accounting practice for Scottish local government.  A key task in achieving this is LASAAC’s representation on CIPFA-LASAAC which produces the UK-wide ‘Code of Practice on Local Authority Accounting in the United Kingdom’.  </w:t>
            </w:r>
          </w:p>
          <w:p w14:paraId="2021FDA5" w14:textId="77777777" w:rsidR="00856149" w:rsidRPr="00856149" w:rsidRDefault="00856149" w:rsidP="008561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1C534D6C" w14:textId="77777777" w:rsidR="00856149" w:rsidRPr="00856149" w:rsidRDefault="00856149" w:rsidP="00856149">
      <w:pPr>
        <w:jc w:val="both"/>
        <w:rPr>
          <w:rFonts w:ascii="Arial" w:eastAsia="Calibri" w:hAnsi="Arial" w:cs="Arial"/>
          <w:sz w:val="20"/>
          <w:szCs w:val="20"/>
        </w:rPr>
      </w:pPr>
    </w:p>
    <w:p w14:paraId="42CDF87C" w14:textId="77777777" w:rsidR="00856149" w:rsidRPr="00856149" w:rsidRDefault="00856149" w:rsidP="00856149">
      <w:pPr>
        <w:jc w:val="both"/>
        <w:rPr>
          <w:rFonts w:ascii="Arial" w:eastAsia="Calibri" w:hAnsi="Arial" w:cs="Arial"/>
        </w:rPr>
      </w:pPr>
      <w:r w:rsidRPr="00856149">
        <w:rPr>
          <w:rFonts w:ascii="Arial" w:eastAsia="Calibri" w:hAnsi="Arial" w:cs="Arial"/>
        </w:rPr>
        <w:t>Further information about LASAAC can be obtained at:</w:t>
      </w:r>
    </w:p>
    <w:p w14:paraId="72C27520" w14:textId="77777777" w:rsidR="00856149" w:rsidRPr="00856149" w:rsidRDefault="00856149" w:rsidP="00856149">
      <w:pPr>
        <w:jc w:val="both"/>
        <w:rPr>
          <w:rFonts w:ascii="Arial" w:eastAsia="Calibri" w:hAnsi="Arial" w:cs="Arial"/>
        </w:rPr>
      </w:pPr>
      <w:hyperlink r:id="rId14" w:history="1">
        <w:r w:rsidRPr="00856149">
          <w:rPr>
            <w:rFonts w:ascii="Arial" w:eastAsia="Calibri" w:hAnsi="Arial" w:cs="Arial"/>
            <w:color w:val="0563C1"/>
            <w:u w:val="single"/>
          </w:rPr>
          <w:t>http://www.cipfascotland.org.uk/technical/lasaac.cfm</w:t>
        </w:r>
      </w:hyperlink>
    </w:p>
    <w:p w14:paraId="291442CA" w14:textId="77777777" w:rsidR="00856149" w:rsidRPr="00856149" w:rsidRDefault="00856149" w:rsidP="00856149">
      <w:pPr>
        <w:jc w:val="both"/>
        <w:rPr>
          <w:rFonts w:ascii="Arial" w:eastAsia="Calibri" w:hAnsi="Arial" w:cs="Arial"/>
        </w:rPr>
      </w:pPr>
    </w:p>
    <w:p w14:paraId="09530419" w14:textId="77777777" w:rsidR="00856149" w:rsidRPr="00856149" w:rsidRDefault="00856149" w:rsidP="00856149">
      <w:pPr>
        <w:jc w:val="both"/>
        <w:rPr>
          <w:rFonts w:ascii="Arial" w:eastAsia="Calibri" w:hAnsi="Arial" w:cs="Arial"/>
        </w:rPr>
      </w:pPr>
    </w:p>
    <w:p w14:paraId="50D0D5D9" w14:textId="77777777" w:rsidR="00856149" w:rsidRPr="00856149" w:rsidRDefault="00856149" w:rsidP="00856149">
      <w:pPr>
        <w:jc w:val="both"/>
        <w:rPr>
          <w:rFonts w:ascii="Arial" w:eastAsia="Calibri" w:hAnsi="Arial" w:cs="Arial"/>
        </w:rPr>
      </w:pPr>
    </w:p>
    <w:p w14:paraId="76A8CA75" w14:textId="77777777" w:rsidR="00856149" w:rsidRPr="00856149" w:rsidRDefault="00856149" w:rsidP="00856149">
      <w:pPr>
        <w:jc w:val="both"/>
        <w:rPr>
          <w:rFonts w:ascii="Arial" w:eastAsia="Calibri" w:hAnsi="Arial" w:cs="Arial"/>
        </w:rPr>
      </w:pPr>
    </w:p>
    <w:p w14:paraId="446BE889" w14:textId="77777777" w:rsidR="00856149" w:rsidRPr="00856149" w:rsidRDefault="00856149" w:rsidP="00856149">
      <w:pPr>
        <w:jc w:val="both"/>
        <w:rPr>
          <w:rFonts w:ascii="Arial" w:eastAsia="Calibri" w:hAnsi="Arial" w:cs="Arial"/>
        </w:rPr>
      </w:pPr>
      <w:r w:rsidRPr="00856149">
        <w:rPr>
          <w:rFonts w:ascii="Arial" w:eastAsia="Calibri" w:hAnsi="Arial" w:cs="Arial"/>
        </w:rPr>
        <w:t xml:space="preserve">The Chartered Institute of Public Finance and Accountancy (CIPFA) provide secretariat support for LASAAC. If you would like to contact LASAAC please communicate with </w:t>
      </w:r>
    </w:p>
    <w:p w14:paraId="7AC49753" w14:textId="77777777" w:rsidR="00856149" w:rsidRPr="00856149" w:rsidRDefault="00856149" w:rsidP="00856149">
      <w:pPr>
        <w:jc w:val="both"/>
        <w:rPr>
          <w:rFonts w:ascii="Arial" w:eastAsia="Calibri" w:hAnsi="Arial" w:cs="Arial"/>
          <w:sz w:val="20"/>
          <w:szCs w:val="20"/>
        </w:rPr>
      </w:pPr>
    </w:p>
    <w:p w14:paraId="62EE36E6" w14:textId="77777777" w:rsidR="00856149" w:rsidRPr="00856149" w:rsidRDefault="00856149" w:rsidP="00856149">
      <w:pPr>
        <w:jc w:val="both"/>
        <w:rPr>
          <w:rFonts w:ascii="Arial" w:eastAsia="Calibri" w:hAnsi="Arial" w:cs="Arial"/>
          <w:i/>
          <w:sz w:val="20"/>
          <w:szCs w:val="20"/>
        </w:rPr>
      </w:pPr>
    </w:p>
    <w:p w14:paraId="67BCF72F" w14:textId="77777777" w:rsidR="00856149" w:rsidRPr="00856149" w:rsidRDefault="00856149" w:rsidP="00856149">
      <w:pPr>
        <w:jc w:val="both"/>
        <w:rPr>
          <w:rFonts w:ascii="Arial" w:eastAsia="Calibri" w:hAnsi="Arial" w:cs="Arial"/>
          <w:i/>
          <w:sz w:val="20"/>
          <w:szCs w:val="20"/>
        </w:rPr>
      </w:pPr>
    </w:p>
    <w:p w14:paraId="5763B9EA" w14:textId="77777777" w:rsidR="00856149" w:rsidRPr="00856149" w:rsidRDefault="00856149" w:rsidP="008561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</w:rPr>
      </w:pPr>
      <w:r w:rsidRPr="00856149">
        <w:rPr>
          <w:rFonts w:ascii="Arial" w:eastAsia="Times New Roman" w:hAnsi="Arial" w:cs="Arial"/>
        </w:rPr>
        <w:t>Contact:</w:t>
      </w:r>
      <w:r w:rsidRPr="00856149">
        <w:rPr>
          <w:rFonts w:ascii="Arial" w:eastAsia="Times New Roman" w:hAnsi="Arial" w:cs="Arial"/>
        </w:rPr>
        <w:tab/>
      </w:r>
    </w:p>
    <w:p w14:paraId="27E018CE" w14:textId="77777777" w:rsidR="00856149" w:rsidRPr="00856149" w:rsidRDefault="00856149" w:rsidP="008561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</w:rPr>
      </w:pPr>
      <w:r w:rsidRPr="00856149">
        <w:rPr>
          <w:rFonts w:ascii="Arial" w:eastAsia="Times New Roman" w:hAnsi="Arial" w:cs="Arial"/>
        </w:rPr>
        <w:tab/>
      </w:r>
      <w:r w:rsidRPr="00856149">
        <w:rPr>
          <w:rFonts w:ascii="Arial" w:eastAsia="Times New Roman" w:hAnsi="Arial" w:cs="Arial"/>
        </w:rPr>
        <w:tab/>
      </w:r>
    </w:p>
    <w:p w14:paraId="5B2465A9" w14:textId="77777777" w:rsidR="00856149" w:rsidRPr="00856149" w:rsidRDefault="00856149" w:rsidP="008561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29" w:hanging="1440"/>
        <w:jc w:val="both"/>
        <w:textAlignment w:val="baseline"/>
        <w:rPr>
          <w:rFonts w:ascii="Arial" w:eastAsia="Times New Roman" w:hAnsi="Arial" w:cs="Arial"/>
        </w:rPr>
      </w:pPr>
      <w:r w:rsidRPr="00856149">
        <w:rPr>
          <w:rFonts w:ascii="Arial" w:eastAsia="Times New Roman" w:hAnsi="Arial" w:cs="Arial"/>
        </w:rPr>
        <w:tab/>
        <w:t xml:space="preserve">CIPFA </w:t>
      </w:r>
    </w:p>
    <w:p w14:paraId="1E5CE188" w14:textId="77777777" w:rsidR="00856149" w:rsidRPr="00856149" w:rsidRDefault="00856149" w:rsidP="008561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29" w:hanging="1440"/>
        <w:jc w:val="both"/>
        <w:textAlignment w:val="baseline"/>
        <w:rPr>
          <w:rFonts w:ascii="Arial" w:eastAsia="Times New Roman" w:hAnsi="Arial" w:cs="Arial"/>
        </w:rPr>
      </w:pPr>
      <w:r w:rsidRPr="00856149">
        <w:rPr>
          <w:rFonts w:ascii="Arial" w:eastAsia="Times New Roman" w:hAnsi="Arial" w:cs="Arial"/>
        </w:rPr>
        <w:tab/>
        <w:t>160 Dundee Street</w:t>
      </w:r>
    </w:p>
    <w:p w14:paraId="6C44EFC7" w14:textId="77777777" w:rsidR="00856149" w:rsidRPr="00856149" w:rsidRDefault="00856149" w:rsidP="008561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29" w:hanging="1440"/>
        <w:jc w:val="both"/>
        <w:textAlignment w:val="baseline"/>
        <w:rPr>
          <w:rFonts w:ascii="Arial" w:eastAsia="Times New Roman" w:hAnsi="Arial" w:cs="Arial"/>
        </w:rPr>
      </w:pPr>
      <w:r w:rsidRPr="00856149">
        <w:rPr>
          <w:rFonts w:ascii="Arial" w:eastAsia="Times New Roman" w:hAnsi="Arial" w:cs="Arial"/>
        </w:rPr>
        <w:tab/>
        <w:t>Edinburgh</w:t>
      </w:r>
    </w:p>
    <w:p w14:paraId="2BAF892D" w14:textId="77777777" w:rsidR="00856149" w:rsidRPr="00856149" w:rsidRDefault="00856149" w:rsidP="008561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29" w:hanging="1440"/>
        <w:jc w:val="both"/>
        <w:textAlignment w:val="baseline"/>
        <w:rPr>
          <w:rFonts w:ascii="Arial" w:eastAsia="Times New Roman" w:hAnsi="Arial" w:cs="Arial"/>
        </w:rPr>
      </w:pPr>
      <w:r w:rsidRPr="00856149">
        <w:rPr>
          <w:rFonts w:ascii="Arial" w:eastAsia="Times New Roman" w:hAnsi="Arial" w:cs="Arial"/>
        </w:rPr>
        <w:tab/>
        <w:t>EH11 1DQ</w:t>
      </w:r>
    </w:p>
    <w:p w14:paraId="082E3BC6" w14:textId="77777777" w:rsidR="00856149" w:rsidRPr="00856149" w:rsidRDefault="00856149" w:rsidP="00856149">
      <w:pPr>
        <w:jc w:val="both"/>
        <w:rPr>
          <w:rFonts w:ascii="Arial" w:eastAsia="Calibri" w:hAnsi="Arial" w:cs="Arial"/>
          <w:color w:val="0563C1"/>
          <w:u w:val="single"/>
        </w:rPr>
      </w:pPr>
      <w:r w:rsidRPr="00856149">
        <w:rPr>
          <w:rFonts w:ascii="Arial" w:eastAsia="Calibri" w:hAnsi="Arial" w:cs="Arial"/>
        </w:rPr>
        <w:tab/>
      </w:r>
      <w:r w:rsidRPr="00856149">
        <w:rPr>
          <w:rFonts w:ascii="Arial" w:eastAsia="Calibri" w:hAnsi="Arial" w:cs="Arial"/>
        </w:rPr>
        <w:tab/>
      </w:r>
      <w:hyperlink r:id="rId15" w:history="1">
        <w:r w:rsidRPr="00856149">
          <w:rPr>
            <w:rFonts w:ascii="Arial" w:eastAsia="Calibri" w:hAnsi="Arial" w:cs="Arial"/>
            <w:color w:val="0563C1"/>
            <w:u w:val="single"/>
          </w:rPr>
          <w:t>lasaac@cipfa.org</w:t>
        </w:r>
      </w:hyperlink>
    </w:p>
    <w:p w14:paraId="17FCC191" w14:textId="77777777" w:rsidR="00856149" w:rsidRPr="00167E95" w:rsidRDefault="00856149" w:rsidP="000F3EDF">
      <w:pPr>
        <w:spacing w:after="240" w:line="240" w:lineRule="exact"/>
        <w:rPr>
          <w:rFonts w:ascii="Arial" w:eastAsia="Times New Roman" w:hAnsi="Arial" w:cs="Arial"/>
          <w:color w:val="7030A0"/>
          <w:lang w:eastAsia="en-GB"/>
        </w:rPr>
      </w:pPr>
    </w:p>
    <w:p w14:paraId="01914C14" w14:textId="77777777" w:rsidR="00856149" w:rsidRDefault="00856149" w:rsidP="000F3EDF">
      <w:pPr>
        <w:spacing w:after="240" w:line="240" w:lineRule="exact"/>
        <w:rPr>
          <w:rFonts w:ascii="Georgia" w:eastAsia="Times New Roman" w:hAnsi="Georgia" w:cs="Times New Roman"/>
          <w:color w:val="7030A0"/>
          <w:sz w:val="28"/>
          <w:szCs w:val="28"/>
          <w:lang w:eastAsia="en-GB"/>
        </w:rPr>
      </w:pPr>
    </w:p>
    <w:p w14:paraId="6B9ABBAB" w14:textId="77777777" w:rsidR="00856149" w:rsidRDefault="00856149" w:rsidP="000F3EDF">
      <w:pPr>
        <w:spacing w:after="240" w:line="240" w:lineRule="exact"/>
        <w:rPr>
          <w:rFonts w:ascii="Georgia" w:eastAsia="Times New Roman" w:hAnsi="Georgia" w:cs="Times New Roman"/>
          <w:color w:val="7030A0"/>
          <w:sz w:val="28"/>
          <w:szCs w:val="28"/>
          <w:lang w:eastAsia="en-GB"/>
        </w:rPr>
      </w:pPr>
    </w:p>
    <w:p w14:paraId="6DAD2017" w14:textId="77777777" w:rsidR="00856149" w:rsidRDefault="00856149" w:rsidP="000F3EDF">
      <w:pPr>
        <w:spacing w:after="240" w:line="240" w:lineRule="exact"/>
        <w:rPr>
          <w:rFonts w:ascii="Georgia" w:eastAsia="Times New Roman" w:hAnsi="Georgia" w:cs="Times New Roman"/>
          <w:color w:val="7030A0"/>
          <w:sz w:val="28"/>
          <w:szCs w:val="28"/>
          <w:lang w:eastAsia="en-GB"/>
        </w:rPr>
      </w:pPr>
    </w:p>
    <w:p w14:paraId="0684279F" w14:textId="25B5146F" w:rsidR="007D3DDE" w:rsidRDefault="001D5FAE" w:rsidP="000F3EDF">
      <w:pPr>
        <w:spacing w:after="240" w:line="240" w:lineRule="exact"/>
        <w:rPr>
          <w:rFonts w:ascii="Georgia" w:eastAsia="Times New Roman" w:hAnsi="Georgia" w:cs="Times New Roman"/>
          <w:color w:val="7030A0"/>
          <w:sz w:val="28"/>
          <w:szCs w:val="28"/>
          <w:lang w:eastAsia="en-GB"/>
        </w:rPr>
      </w:pPr>
      <w:r>
        <w:rPr>
          <w:rFonts w:ascii="Georgia" w:eastAsia="Times New Roman" w:hAnsi="Georgia" w:cs="Times New Roman"/>
          <w:color w:val="7030A0"/>
          <w:sz w:val="28"/>
          <w:szCs w:val="28"/>
          <w:lang w:eastAsia="en-GB"/>
        </w:rPr>
        <w:lastRenderedPageBreak/>
        <w:t>ADDENDUM TO GUIDANCE ON ACCOUNTING FOR COR</w:t>
      </w:r>
      <w:r w:rsidR="00BF311F">
        <w:rPr>
          <w:rFonts w:ascii="Georgia" w:eastAsia="Times New Roman" w:hAnsi="Georgia" w:cs="Times New Roman"/>
          <w:color w:val="7030A0"/>
          <w:sz w:val="28"/>
          <w:szCs w:val="28"/>
          <w:lang w:eastAsia="en-GB"/>
        </w:rPr>
        <w:t>ONAVIRUS GRANTS</w:t>
      </w:r>
    </w:p>
    <w:p w14:paraId="04B9D83E" w14:textId="11A385BA" w:rsidR="000F3EDF" w:rsidRPr="000F3EDF" w:rsidRDefault="000F3EDF" w:rsidP="000F3EDF">
      <w:pPr>
        <w:spacing w:after="240" w:line="240" w:lineRule="exact"/>
        <w:rPr>
          <w:rFonts w:ascii="Georgia" w:eastAsia="Times New Roman" w:hAnsi="Georgia" w:cs="Times New Roman"/>
          <w:color w:val="7030A0"/>
          <w:sz w:val="28"/>
          <w:szCs w:val="28"/>
          <w:lang w:eastAsia="en-GB"/>
        </w:rPr>
      </w:pPr>
      <w:r w:rsidRPr="000F3EDF">
        <w:rPr>
          <w:rFonts w:ascii="Georgia" w:eastAsia="Times New Roman" w:hAnsi="Georgia" w:cs="Times New Roman"/>
          <w:color w:val="7030A0"/>
          <w:sz w:val="28"/>
          <w:szCs w:val="28"/>
          <w:lang w:eastAsia="en-GB"/>
        </w:rPr>
        <w:t>PERSONAL PROTECTIVE EQUIPMENT (PPE) STOCK</w:t>
      </w:r>
      <w:bookmarkEnd w:id="0"/>
      <w:r w:rsidR="00C8054D">
        <w:rPr>
          <w:rFonts w:ascii="Georgia" w:eastAsia="Times New Roman" w:hAnsi="Georgia" w:cs="Times New Roman"/>
          <w:color w:val="7030A0"/>
          <w:sz w:val="28"/>
          <w:szCs w:val="28"/>
          <w:lang w:eastAsia="en-GB"/>
        </w:rPr>
        <w:t>S</w:t>
      </w:r>
    </w:p>
    <w:bookmarkEnd w:id="1"/>
    <w:p w14:paraId="68A98655" w14:textId="77777777" w:rsidR="000F3EDF" w:rsidRPr="000F3EDF" w:rsidRDefault="000F3EDF" w:rsidP="000F3EDF">
      <w:pPr>
        <w:spacing w:after="240" w:line="240" w:lineRule="exact"/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</w:pPr>
      <w:r w:rsidRPr="000F3EDF"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  <w:t>Background</w:t>
      </w:r>
    </w:p>
    <w:p w14:paraId="675D8F42" w14:textId="7946F720" w:rsidR="00C8054D" w:rsidRDefault="00C8054D" w:rsidP="000F3EDF">
      <w:pPr>
        <w:numPr>
          <w:ilvl w:val="0"/>
          <w:numId w:val="2"/>
        </w:numPr>
        <w:spacing w:after="240" w:line="240" w:lineRule="exact"/>
        <w:ind w:left="714" w:hanging="357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National Services Scotland (NSS) has been supplying PPE to Scottish Health Boards free of charge. </w:t>
      </w:r>
      <w:r w:rsidR="004A25AC" w:rsidRPr="004A25AC">
        <w:rPr>
          <w:rFonts w:ascii="Arial" w:eastAsia="Arial" w:hAnsi="Arial" w:cs="Times New Roman"/>
        </w:rPr>
        <w:t xml:space="preserve">LASAAC are aware that the Scottish Government has advised boards </w:t>
      </w:r>
      <w:r w:rsidR="00424B62">
        <w:rPr>
          <w:rFonts w:ascii="Arial" w:eastAsia="Arial" w:hAnsi="Arial" w:cs="Times New Roman"/>
        </w:rPr>
        <w:t xml:space="preserve">that, </w:t>
      </w:r>
      <w:r w:rsidR="00D46769">
        <w:rPr>
          <w:rFonts w:ascii="Arial" w:eastAsia="Arial" w:hAnsi="Arial" w:cs="Times New Roman"/>
        </w:rPr>
        <w:t xml:space="preserve">where it is </w:t>
      </w:r>
      <w:r w:rsidRPr="00C8054D">
        <w:rPr>
          <w:rFonts w:ascii="Arial" w:eastAsia="Arial" w:hAnsi="Arial" w:cs="Times New Roman"/>
        </w:rPr>
        <w:t>health board</w:t>
      </w:r>
      <w:r w:rsidR="00D46769">
        <w:rPr>
          <w:rFonts w:ascii="Arial" w:eastAsia="Arial" w:hAnsi="Arial" w:cs="Times New Roman"/>
        </w:rPr>
        <w:t xml:space="preserve"> </w:t>
      </w:r>
      <w:r w:rsidRPr="00C8054D">
        <w:rPr>
          <w:rFonts w:ascii="Arial" w:eastAsia="Arial" w:hAnsi="Arial" w:cs="Times New Roman"/>
        </w:rPr>
        <w:t>s</w:t>
      </w:r>
      <w:r w:rsidR="00D46769">
        <w:rPr>
          <w:rFonts w:ascii="Arial" w:eastAsia="Arial" w:hAnsi="Arial" w:cs="Times New Roman"/>
        </w:rPr>
        <w:t>taff that</w:t>
      </w:r>
      <w:r w:rsidRPr="00C8054D">
        <w:rPr>
          <w:rFonts w:ascii="Arial" w:eastAsia="Arial" w:hAnsi="Arial" w:cs="Times New Roman"/>
        </w:rPr>
        <w:t xml:space="preserve"> are consuming the PPE, the</w:t>
      </w:r>
      <w:r w:rsidR="00D46769">
        <w:rPr>
          <w:rFonts w:ascii="Arial" w:eastAsia="Arial" w:hAnsi="Arial" w:cs="Times New Roman"/>
        </w:rPr>
        <w:t xml:space="preserve"> boards</w:t>
      </w:r>
      <w:r w:rsidRPr="00C8054D">
        <w:rPr>
          <w:rFonts w:ascii="Arial" w:eastAsia="Arial" w:hAnsi="Arial" w:cs="Times New Roman"/>
        </w:rPr>
        <w:t xml:space="preserve"> are the ‘customer’ in terms of IFRS 15. Th</w:t>
      </w:r>
      <w:r>
        <w:rPr>
          <w:rFonts w:ascii="Arial" w:eastAsia="Arial" w:hAnsi="Arial" w:cs="Times New Roman"/>
        </w:rPr>
        <w:t xml:space="preserve">is will mean that they are </w:t>
      </w:r>
      <w:r w:rsidRPr="00C8054D">
        <w:rPr>
          <w:rFonts w:ascii="Arial" w:eastAsia="Arial" w:hAnsi="Arial" w:cs="Times New Roman"/>
        </w:rPr>
        <w:t xml:space="preserve">required to account for the PPE as principal which entails recognising a non-cash </w:t>
      </w:r>
      <w:r>
        <w:rPr>
          <w:rFonts w:ascii="Arial" w:eastAsia="Arial" w:hAnsi="Arial" w:cs="Times New Roman"/>
        </w:rPr>
        <w:t>amount</w:t>
      </w:r>
      <w:r w:rsidRPr="00C8054D">
        <w:rPr>
          <w:rFonts w:ascii="Arial" w:eastAsia="Arial" w:hAnsi="Arial" w:cs="Times New Roman"/>
        </w:rPr>
        <w:t xml:space="preserve"> at fair value and an equivalent amount of notional expenditure. NSS has provide</w:t>
      </w:r>
      <w:r w:rsidR="007B4CE7">
        <w:rPr>
          <w:rFonts w:ascii="Arial" w:eastAsia="Arial" w:hAnsi="Arial" w:cs="Times New Roman"/>
        </w:rPr>
        <w:t>d</w:t>
      </w:r>
      <w:r w:rsidRPr="00C8054D">
        <w:rPr>
          <w:rFonts w:ascii="Arial" w:eastAsia="Arial" w:hAnsi="Arial" w:cs="Times New Roman"/>
        </w:rPr>
        <w:t xml:space="preserve"> boards with the necessary financial information</w:t>
      </w:r>
      <w:r>
        <w:rPr>
          <w:rFonts w:ascii="Arial" w:eastAsia="Arial" w:hAnsi="Arial" w:cs="Times New Roman"/>
        </w:rPr>
        <w:t xml:space="preserve"> </w:t>
      </w:r>
      <w:r w:rsidR="00BC10E3">
        <w:rPr>
          <w:rFonts w:ascii="Arial" w:eastAsia="Arial" w:hAnsi="Arial" w:cs="Times New Roman"/>
        </w:rPr>
        <w:t>to</w:t>
      </w:r>
      <w:r>
        <w:rPr>
          <w:rFonts w:ascii="Arial" w:eastAsia="Arial" w:hAnsi="Arial" w:cs="Times New Roman"/>
        </w:rPr>
        <w:t xml:space="preserve"> complete the accounting</w:t>
      </w:r>
      <w:r w:rsidR="00E80F87">
        <w:rPr>
          <w:rFonts w:ascii="Arial" w:eastAsia="Arial" w:hAnsi="Arial" w:cs="Times New Roman"/>
        </w:rPr>
        <w:t xml:space="preserve"> entries required</w:t>
      </w:r>
      <w:r>
        <w:rPr>
          <w:rFonts w:ascii="Arial" w:eastAsia="Arial" w:hAnsi="Arial" w:cs="Times New Roman"/>
        </w:rPr>
        <w:t xml:space="preserve">. </w:t>
      </w:r>
    </w:p>
    <w:p w14:paraId="4A93537A" w14:textId="708613CB" w:rsidR="000F3EDF" w:rsidRDefault="00C8054D" w:rsidP="000F3EDF">
      <w:pPr>
        <w:numPr>
          <w:ilvl w:val="0"/>
          <w:numId w:val="2"/>
        </w:numPr>
        <w:spacing w:after="240" w:line="240" w:lineRule="exact"/>
        <w:ind w:left="714" w:hanging="357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LASAAC has become aware from practitioners and Audit Scotland that this should also be a consideration for councils and </w:t>
      </w:r>
      <w:r w:rsidR="00B43CFB">
        <w:rPr>
          <w:rFonts w:ascii="Arial" w:eastAsia="Arial" w:hAnsi="Arial" w:cs="Times New Roman"/>
        </w:rPr>
        <w:t>Integration Joint Boards (</w:t>
      </w:r>
      <w:r>
        <w:rPr>
          <w:rFonts w:ascii="Arial" w:eastAsia="Arial" w:hAnsi="Arial" w:cs="Times New Roman"/>
        </w:rPr>
        <w:t>IJBs</w:t>
      </w:r>
      <w:r w:rsidR="00B43CFB">
        <w:rPr>
          <w:rFonts w:ascii="Arial" w:eastAsia="Arial" w:hAnsi="Arial" w:cs="Times New Roman"/>
        </w:rPr>
        <w:t xml:space="preserve">) </w:t>
      </w:r>
      <w:r>
        <w:rPr>
          <w:rFonts w:ascii="Arial" w:eastAsia="Arial" w:hAnsi="Arial" w:cs="Times New Roman"/>
        </w:rPr>
        <w:t>where NSS has supplied PPE</w:t>
      </w:r>
      <w:r w:rsidR="00296AF9">
        <w:rPr>
          <w:rFonts w:ascii="Arial" w:eastAsia="Arial" w:hAnsi="Arial" w:cs="Times New Roman"/>
        </w:rPr>
        <w:t xml:space="preserve"> free of charge</w:t>
      </w:r>
      <w:r>
        <w:rPr>
          <w:rFonts w:ascii="Arial" w:eastAsia="Arial" w:hAnsi="Arial" w:cs="Times New Roman"/>
        </w:rPr>
        <w:t xml:space="preserve">. </w:t>
      </w:r>
      <w:r w:rsidR="00E80F87" w:rsidRPr="000F3EDF">
        <w:rPr>
          <w:rFonts w:ascii="Arial" w:eastAsia="Arial" w:hAnsi="Arial" w:cs="Times New Roman"/>
        </w:rPr>
        <w:t>The</w:t>
      </w:r>
      <w:r w:rsidR="00E80F87">
        <w:rPr>
          <w:rFonts w:ascii="Arial" w:eastAsia="Arial" w:hAnsi="Arial" w:cs="Times New Roman"/>
        </w:rPr>
        <w:t>refore,</w:t>
      </w:r>
      <w:r>
        <w:rPr>
          <w:rFonts w:ascii="Arial" w:eastAsia="Arial" w:hAnsi="Arial" w:cs="Times New Roman"/>
        </w:rPr>
        <w:t xml:space="preserve"> LASAAC is providing this add</w:t>
      </w:r>
      <w:r w:rsidR="004D64E3">
        <w:rPr>
          <w:rFonts w:ascii="Arial" w:eastAsia="Arial" w:hAnsi="Arial" w:cs="Times New Roman"/>
        </w:rPr>
        <w:t>endum</w:t>
      </w:r>
      <w:r>
        <w:rPr>
          <w:rFonts w:ascii="Arial" w:eastAsia="Arial" w:hAnsi="Arial" w:cs="Times New Roman"/>
        </w:rPr>
        <w:t xml:space="preserve"> to its </w:t>
      </w:r>
      <w:hyperlink r:id="rId16" w:history="1">
        <w:r w:rsidRPr="00E80F87">
          <w:rPr>
            <w:rStyle w:val="Hyperlink"/>
            <w:rFonts w:ascii="Arial" w:eastAsia="Arial" w:hAnsi="Arial" w:cs="Times New Roman"/>
          </w:rPr>
          <w:t>guidance on Guidance on Accounting for Coronavirus Grants issued on 13 May 2021.</w:t>
        </w:r>
      </w:hyperlink>
    </w:p>
    <w:p w14:paraId="5F96ECFA" w14:textId="3BCCB7C6" w:rsidR="004D64E3" w:rsidRDefault="004D64E3" w:rsidP="00E80F87">
      <w:pPr>
        <w:spacing w:after="240" w:line="240" w:lineRule="exact"/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  <w:t>LASAAC Consideration of Roles and Responsibilities</w:t>
      </w:r>
    </w:p>
    <w:p w14:paraId="025EBD31" w14:textId="10919D6F" w:rsidR="004D64E3" w:rsidRPr="00B43CFB" w:rsidRDefault="004D64E3" w:rsidP="00B43CFB">
      <w:pPr>
        <w:pStyle w:val="ListParagraph"/>
        <w:numPr>
          <w:ilvl w:val="0"/>
          <w:numId w:val="2"/>
        </w:numPr>
        <w:spacing w:after="240" w:line="240" w:lineRule="exact"/>
        <w:ind w:left="714" w:hanging="357"/>
        <w:contextualSpacing w:val="0"/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lang w:eastAsia="en-GB"/>
        </w:rPr>
        <w:t>In order to</w:t>
      </w:r>
      <w:proofErr w:type="gramEnd"/>
      <w:r>
        <w:rPr>
          <w:rFonts w:ascii="Arial" w:eastAsia="Times New Roman" w:hAnsi="Arial" w:cs="Arial"/>
          <w:lang w:eastAsia="en-GB"/>
        </w:rPr>
        <w:t xml:space="preserve"> determine </w:t>
      </w:r>
      <w:r w:rsidR="00A13127">
        <w:rPr>
          <w:rFonts w:ascii="Arial" w:eastAsia="Times New Roman" w:hAnsi="Arial" w:cs="Arial"/>
          <w:lang w:eastAsia="en-GB"/>
        </w:rPr>
        <w:t>the appr</w:t>
      </w:r>
      <w:r w:rsidR="00B82034">
        <w:rPr>
          <w:rFonts w:ascii="Arial" w:eastAsia="Times New Roman" w:hAnsi="Arial" w:cs="Arial"/>
          <w:lang w:eastAsia="en-GB"/>
        </w:rPr>
        <w:t>opriate</w:t>
      </w:r>
      <w:r>
        <w:rPr>
          <w:rFonts w:ascii="Arial" w:eastAsia="Times New Roman" w:hAnsi="Arial" w:cs="Arial"/>
          <w:lang w:eastAsia="en-GB"/>
        </w:rPr>
        <w:t xml:space="preserve"> accounting treatment, LASAAC considered the roles and responsibilities of councils and IJBs</w:t>
      </w:r>
      <w:r w:rsidR="008D5A68">
        <w:rPr>
          <w:rFonts w:ascii="Arial" w:eastAsia="Times New Roman" w:hAnsi="Arial" w:cs="Arial"/>
          <w:lang w:eastAsia="en-GB"/>
        </w:rPr>
        <w:t xml:space="preserve"> in relation to PPE</w:t>
      </w:r>
      <w:r>
        <w:rPr>
          <w:rFonts w:ascii="Arial" w:eastAsia="Times New Roman" w:hAnsi="Arial" w:cs="Arial"/>
          <w:lang w:eastAsia="en-GB"/>
        </w:rPr>
        <w:t>. LASAAC’s focus was to establish where the consumptio</w:t>
      </w:r>
      <w:r w:rsidR="008D5A68">
        <w:rPr>
          <w:rFonts w:ascii="Arial" w:eastAsia="Times New Roman" w:hAnsi="Arial" w:cs="Arial"/>
          <w:lang w:eastAsia="en-GB"/>
        </w:rPr>
        <w:t xml:space="preserve">n </w:t>
      </w:r>
      <w:r>
        <w:rPr>
          <w:rFonts w:ascii="Arial" w:eastAsia="Times New Roman" w:hAnsi="Arial" w:cs="Arial"/>
          <w:lang w:eastAsia="en-GB"/>
        </w:rPr>
        <w:t>of stocks</w:t>
      </w:r>
      <w:r w:rsidR="00B43CFB">
        <w:rPr>
          <w:rFonts w:ascii="Arial" w:eastAsia="Times New Roman" w:hAnsi="Arial" w:cs="Arial"/>
          <w:lang w:eastAsia="en-GB"/>
        </w:rPr>
        <w:t xml:space="preserve"> of PPE take place. </w:t>
      </w:r>
    </w:p>
    <w:p w14:paraId="33C92D7E" w14:textId="3D515C54" w:rsidR="00B43CFB" w:rsidRDefault="008D5A68" w:rsidP="00332FCE">
      <w:pPr>
        <w:pStyle w:val="ListParagraph"/>
        <w:numPr>
          <w:ilvl w:val="0"/>
          <w:numId w:val="2"/>
        </w:numPr>
        <w:spacing w:after="240" w:line="240" w:lineRule="exact"/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8D5A68">
        <w:rPr>
          <w:rFonts w:ascii="Arial" w:eastAsia="Times New Roman" w:hAnsi="Arial" w:cs="Arial"/>
          <w:lang w:eastAsia="en-GB"/>
        </w:rPr>
        <w:t>The role of IJBs</w:t>
      </w:r>
      <w:r>
        <w:rPr>
          <w:rFonts w:ascii="Arial" w:eastAsia="Times New Roman" w:hAnsi="Arial" w:cs="Arial"/>
          <w:lang w:eastAsia="en-GB"/>
        </w:rPr>
        <w:t xml:space="preserve"> is that of a commissioning body for </w:t>
      </w:r>
      <w:r w:rsidR="000F3BB6">
        <w:rPr>
          <w:rFonts w:ascii="Arial" w:eastAsia="Times New Roman" w:hAnsi="Arial" w:cs="Arial"/>
          <w:lang w:eastAsia="en-GB"/>
        </w:rPr>
        <w:t xml:space="preserve">health and social care </w:t>
      </w:r>
      <w:r>
        <w:rPr>
          <w:rFonts w:ascii="Arial" w:eastAsia="Times New Roman" w:hAnsi="Arial" w:cs="Arial"/>
          <w:lang w:eastAsia="en-GB"/>
        </w:rPr>
        <w:t xml:space="preserve">services. IJBs </w:t>
      </w:r>
      <w:r w:rsidRPr="008D5A68">
        <w:rPr>
          <w:rFonts w:ascii="Arial" w:eastAsia="Times New Roman" w:hAnsi="Arial" w:cs="Arial"/>
          <w:lang w:eastAsia="en-GB"/>
        </w:rPr>
        <w:t>commission</w:t>
      </w:r>
      <w:r>
        <w:rPr>
          <w:rFonts w:ascii="Arial" w:eastAsia="Times New Roman" w:hAnsi="Arial" w:cs="Arial"/>
          <w:lang w:eastAsia="en-GB"/>
        </w:rPr>
        <w:t xml:space="preserve"> councils </w:t>
      </w:r>
      <w:r w:rsidR="00B47777">
        <w:rPr>
          <w:rFonts w:ascii="Arial" w:eastAsia="Times New Roman" w:hAnsi="Arial" w:cs="Arial"/>
          <w:lang w:eastAsia="en-GB"/>
        </w:rPr>
        <w:t>(</w:t>
      </w:r>
      <w:r>
        <w:rPr>
          <w:rFonts w:ascii="Arial" w:eastAsia="Times New Roman" w:hAnsi="Arial" w:cs="Arial"/>
          <w:lang w:eastAsia="en-GB"/>
        </w:rPr>
        <w:t>and</w:t>
      </w:r>
      <w:r w:rsidRPr="008D5A68">
        <w:rPr>
          <w:rFonts w:ascii="Arial" w:eastAsia="Times New Roman" w:hAnsi="Arial" w:cs="Arial"/>
          <w:lang w:eastAsia="en-GB"/>
        </w:rPr>
        <w:t xml:space="preserve"> health board</w:t>
      </w:r>
      <w:r w:rsidR="00B27FA0">
        <w:rPr>
          <w:rFonts w:ascii="Arial" w:eastAsia="Times New Roman" w:hAnsi="Arial" w:cs="Arial"/>
          <w:lang w:eastAsia="en-GB"/>
        </w:rPr>
        <w:t>s</w:t>
      </w:r>
      <w:r w:rsidR="00B47777">
        <w:rPr>
          <w:rFonts w:ascii="Arial" w:eastAsia="Times New Roman" w:hAnsi="Arial" w:cs="Arial"/>
          <w:lang w:eastAsia="en-GB"/>
        </w:rPr>
        <w:t>)</w:t>
      </w:r>
      <w:r w:rsidRPr="008D5A68">
        <w:rPr>
          <w:rFonts w:ascii="Arial" w:eastAsia="Times New Roman" w:hAnsi="Arial" w:cs="Arial"/>
          <w:lang w:eastAsia="en-GB"/>
        </w:rPr>
        <w:t xml:space="preserve"> to deliver services in line with </w:t>
      </w:r>
      <w:r w:rsidR="00332FCE">
        <w:rPr>
          <w:rFonts w:ascii="Arial" w:eastAsia="Times New Roman" w:hAnsi="Arial" w:cs="Arial"/>
          <w:lang w:eastAsia="en-GB"/>
        </w:rPr>
        <w:t xml:space="preserve">their agreed </w:t>
      </w:r>
      <w:r w:rsidR="000C12A9">
        <w:rPr>
          <w:rFonts w:ascii="Arial" w:eastAsia="Times New Roman" w:hAnsi="Arial" w:cs="Arial"/>
          <w:lang w:eastAsia="en-GB"/>
        </w:rPr>
        <w:t>integration scheme</w:t>
      </w:r>
      <w:r w:rsidRPr="008D5A68">
        <w:rPr>
          <w:rFonts w:ascii="Arial" w:eastAsia="Times New Roman" w:hAnsi="Arial" w:cs="Arial"/>
          <w:lang w:eastAsia="en-GB"/>
        </w:rPr>
        <w:t xml:space="preserve">, and the IJB allocates the budget for delivery accordingly. The </w:t>
      </w:r>
      <w:r w:rsidR="00332FCE">
        <w:rPr>
          <w:rFonts w:ascii="Arial" w:eastAsia="Times New Roman" w:hAnsi="Arial" w:cs="Arial"/>
          <w:lang w:eastAsia="en-GB"/>
        </w:rPr>
        <w:t>council</w:t>
      </w:r>
      <w:r w:rsidRPr="008D5A68">
        <w:rPr>
          <w:rFonts w:ascii="Arial" w:eastAsia="Times New Roman" w:hAnsi="Arial" w:cs="Arial"/>
          <w:lang w:eastAsia="en-GB"/>
        </w:rPr>
        <w:t xml:space="preserve"> and health board deliver these services within the budget and any other parameters directed by the IJB.</w:t>
      </w:r>
    </w:p>
    <w:p w14:paraId="4E600BC9" w14:textId="4526E610" w:rsidR="003D4733" w:rsidRDefault="00332FCE" w:rsidP="00F15678">
      <w:pPr>
        <w:pStyle w:val="ListParagraph"/>
        <w:numPr>
          <w:ilvl w:val="0"/>
          <w:numId w:val="2"/>
        </w:numPr>
        <w:spacing w:after="240" w:line="240" w:lineRule="exact"/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LASAAC takes the view that the IJB is acting as an agent </w:t>
      </w:r>
      <w:r w:rsidR="00F15678">
        <w:rPr>
          <w:rFonts w:ascii="Arial" w:eastAsia="Times New Roman" w:hAnsi="Arial" w:cs="Arial"/>
          <w:lang w:eastAsia="en-GB"/>
        </w:rPr>
        <w:t>regarding</w:t>
      </w:r>
      <w:r>
        <w:rPr>
          <w:rFonts w:ascii="Arial" w:eastAsia="Times New Roman" w:hAnsi="Arial" w:cs="Arial"/>
          <w:lang w:eastAsia="en-GB"/>
        </w:rPr>
        <w:t xml:space="preserve"> PPE transactions</w:t>
      </w:r>
      <w:r w:rsidR="00DE09CE" w:rsidRPr="00DE09CE">
        <w:t xml:space="preserve"> </w:t>
      </w:r>
      <w:r w:rsidR="00DE09CE" w:rsidRPr="00D767FB">
        <w:rPr>
          <w:rFonts w:ascii="Arial" w:hAnsi="Arial" w:cs="Arial"/>
        </w:rPr>
        <w:t xml:space="preserve">and therefore </w:t>
      </w:r>
      <w:r w:rsidR="00BA3F6C" w:rsidRPr="00D767FB">
        <w:rPr>
          <w:rFonts w:ascii="Arial" w:hAnsi="Arial" w:cs="Arial"/>
        </w:rPr>
        <w:t xml:space="preserve">does not </w:t>
      </w:r>
      <w:r w:rsidR="00AB38A4" w:rsidRPr="00D767FB">
        <w:rPr>
          <w:rFonts w:ascii="Arial" w:hAnsi="Arial" w:cs="Arial"/>
        </w:rPr>
        <w:t>recognise any income</w:t>
      </w:r>
      <w:r w:rsidR="001E0961" w:rsidRPr="00D767FB">
        <w:rPr>
          <w:rFonts w:ascii="Arial" w:hAnsi="Arial" w:cs="Arial"/>
        </w:rPr>
        <w:t>,</w:t>
      </w:r>
      <w:r w:rsidR="00AB38A4" w:rsidRPr="00D767FB">
        <w:rPr>
          <w:rFonts w:ascii="Arial" w:hAnsi="Arial" w:cs="Arial"/>
        </w:rPr>
        <w:t xml:space="preserve"> </w:t>
      </w:r>
      <w:r w:rsidR="00B860E4" w:rsidRPr="00D767FB">
        <w:rPr>
          <w:rFonts w:ascii="Arial" w:hAnsi="Arial" w:cs="Arial"/>
        </w:rPr>
        <w:t>expenditure,</w:t>
      </w:r>
      <w:r w:rsidR="00AB38A4" w:rsidRPr="00D767FB">
        <w:rPr>
          <w:rFonts w:ascii="Arial" w:hAnsi="Arial" w:cs="Arial"/>
        </w:rPr>
        <w:t xml:space="preserve"> or </w:t>
      </w:r>
      <w:r w:rsidR="00DE09CE" w:rsidRPr="005C06DC">
        <w:rPr>
          <w:rFonts w:ascii="Arial" w:eastAsia="Times New Roman" w:hAnsi="Arial" w:cs="Arial"/>
          <w:lang w:eastAsia="en-GB"/>
        </w:rPr>
        <w:t>stocks of PPE</w:t>
      </w:r>
      <w:r w:rsidRPr="001E0961">
        <w:rPr>
          <w:rFonts w:ascii="Arial" w:eastAsia="Times New Roman" w:hAnsi="Arial" w:cs="Arial"/>
          <w:lang w:eastAsia="en-GB"/>
        </w:rPr>
        <w:t xml:space="preserve">. </w:t>
      </w:r>
    </w:p>
    <w:p w14:paraId="6C9AC052" w14:textId="6CF4E6E9" w:rsidR="00332FCE" w:rsidRDefault="00F15678" w:rsidP="00F15678">
      <w:pPr>
        <w:pStyle w:val="ListParagraph"/>
        <w:numPr>
          <w:ilvl w:val="0"/>
          <w:numId w:val="2"/>
        </w:numPr>
        <w:spacing w:after="240" w:line="240" w:lineRule="exact"/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1E0961">
        <w:rPr>
          <w:rFonts w:ascii="Arial" w:eastAsia="Times New Roman" w:hAnsi="Arial" w:cs="Arial"/>
          <w:lang w:eastAsia="en-GB"/>
        </w:rPr>
        <w:t xml:space="preserve">Councils issue stocks of PPE to internal staff and external providers of services. Where councils are issuing PPE to internal staff, </w:t>
      </w:r>
      <w:r w:rsidR="00BA7CC8">
        <w:rPr>
          <w:rFonts w:ascii="Arial" w:eastAsia="Times New Roman" w:hAnsi="Arial" w:cs="Arial"/>
          <w:lang w:eastAsia="en-GB"/>
        </w:rPr>
        <w:t xml:space="preserve">LASAAC considers that </w:t>
      </w:r>
      <w:r w:rsidRPr="001E0961">
        <w:rPr>
          <w:rFonts w:ascii="Arial" w:eastAsia="Times New Roman" w:hAnsi="Arial" w:cs="Arial"/>
          <w:lang w:eastAsia="en-GB"/>
        </w:rPr>
        <w:t>they are likely to be acting as a</w:t>
      </w:r>
      <w:r>
        <w:rPr>
          <w:rFonts w:ascii="Arial" w:eastAsia="Times New Roman" w:hAnsi="Arial" w:cs="Arial"/>
          <w:lang w:eastAsia="en-GB"/>
        </w:rPr>
        <w:t xml:space="preserve"> principal as defined in paragraph 2.6.2 of the Code</w:t>
      </w:r>
      <w:r w:rsidR="00C54DBE">
        <w:rPr>
          <w:rFonts w:ascii="Arial" w:eastAsia="Times New Roman" w:hAnsi="Arial" w:cs="Arial"/>
          <w:lang w:eastAsia="en-GB"/>
        </w:rPr>
        <w:t xml:space="preserve"> and should recognise income and expenditure in accordance with this guidance</w:t>
      </w:r>
      <w:r>
        <w:rPr>
          <w:rFonts w:ascii="Arial" w:eastAsia="Times New Roman" w:hAnsi="Arial" w:cs="Arial"/>
          <w:lang w:eastAsia="en-GB"/>
        </w:rPr>
        <w:t xml:space="preserve">. Where issuing to external providers, they are likely to be acting as an agent. </w:t>
      </w:r>
    </w:p>
    <w:p w14:paraId="30CDC6EB" w14:textId="68E5C08A" w:rsidR="00F15678" w:rsidRPr="008D5A68" w:rsidRDefault="00234551" w:rsidP="007D3DDE">
      <w:pPr>
        <w:pStyle w:val="ListParagraph"/>
        <w:numPr>
          <w:ilvl w:val="0"/>
          <w:numId w:val="2"/>
        </w:numPr>
        <w:spacing w:after="240" w:line="240" w:lineRule="exact"/>
        <w:ind w:left="71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Where c</w:t>
      </w:r>
      <w:r w:rsidR="00F15678">
        <w:rPr>
          <w:rFonts w:ascii="Arial" w:eastAsia="Times New Roman" w:hAnsi="Arial" w:cs="Arial"/>
          <w:lang w:eastAsia="en-GB"/>
        </w:rPr>
        <w:t>ouncils</w:t>
      </w:r>
      <w:r>
        <w:rPr>
          <w:rFonts w:ascii="Arial" w:eastAsia="Times New Roman" w:hAnsi="Arial" w:cs="Arial"/>
          <w:lang w:eastAsia="en-GB"/>
        </w:rPr>
        <w:t xml:space="preserve"> are the principal</w:t>
      </w:r>
      <w:r w:rsidR="00F15678">
        <w:rPr>
          <w:rFonts w:ascii="Arial" w:eastAsia="Times New Roman" w:hAnsi="Arial" w:cs="Arial"/>
          <w:lang w:eastAsia="en-GB"/>
        </w:rPr>
        <w:t xml:space="preserve">, where material, </w:t>
      </w:r>
      <w:r w:rsidR="000C35D9">
        <w:rPr>
          <w:rFonts w:ascii="Arial" w:eastAsia="Times New Roman" w:hAnsi="Arial" w:cs="Arial"/>
          <w:lang w:eastAsia="en-GB"/>
        </w:rPr>
        <w:t xml:space="preserve">they </w:t>
      </w:r>
      <w:r w:rsidR="00F15678">
        <w:rPr>
          <w:rFonts w:ascii="Arial" w:eastAsia="Times New Roman" w:hAnsi="Arial" w:cs="Arial"/>
          <w:lang w:eastAsia="en-GB"/>
        </w:rPr>
        <w:t xml:space="preserve">will need to consider accounting for any residual stock </w:t>
      </w:r>
      <w:r w:rsidR="008A028A">
        <w:rPr>
          <w:rFonts w:ascii="Arial" w:eastAsia="Times New Roman" w:hAnsi="Arial" w:cs="Arial"/>
          <w:lang w:eastAsia="en-GB"/>
        </w:rPr>
        <w:t>held at 31 March 2021</w:t>
      </w:r>
      <w:r w:rsidR="00F15678">
        <w:rPr>
          <w:rFonts w:ascii="Arial" w:eastAsia="Times New Roman" w:hAnsi="Arial" w:cs="Arial"/>
          <w:lang w:eastAsia="en-GB"/>
        </w:rPr>
        <w:t xml:space="preserve"> as outlined in the following paragraphs.</w:t>
      </w:r>
      <w:r w:rsidR="00BC4C96">
        <w:rPr>
          <w:rFonts w:ascii="Arial" w:eastAsia="Times New Roman" w:hAnsi="Arial" w:cs="Arial"/>
          <w:lang w:eastAsia="en-GB"/>
        </w:rPr>
        <w:t xml:space="preserve"> </w:t>
      </w:r>
      <w:r w:rsidR="005D2FD9">
        <w:rPr>
          <w:rFonts w:ascii="Arial" w:eastAsia="Times New Roman" w:hAnsi="Arial" w:cs="Arial"/>
          <w:lang w:eastAsia="en-GB"/>
        </w:rPr>
        <w:t>The treatment is consistent with guidance provided in CIPFA Bulletin 9.</w:t>
      </w:r>
    </w:p>
    <w:p w14:paraId="02A060F3" w14:textId="512E7C2D" w:rsidR="00C8054D" w:rsidRPr="000F3EDF" w:rsidRDefault="00C8054D" w:rsidP="00E80F87">
      <w:pPr>
        <w:spacing w:after="240" w:line="240" w:lineRule="exact"/>
        <w:rPr>
          <w:rFonts w:ascii="Arial" w:eastAsia="Arial" w:hAnsi="Arial" w:cs="Times New Roman"/>
        </w:rPr>
      </w:pPr>
      <w:r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  <w:t xml:space="preserve">Accounting Treatment </w:t>
      </w:r>
    </w:p>
    <w:p w14:paraId="24BA2979" w14:textId="1EFCCBFC" w:rsidR="00356EBD" w:rsidRDefault="00D536A5" w:rsidP="000F3EDF">
      <w:pPr>
        <w:numPr>
          <w:ilvl w:val="0"/>
          <w:numId w:val="2"/>
        </w:numPr>
        <w:spacing w:after="240" w:line="240" w:lineRule="exact"/>
        <w:ind w:left="714" w:hanging="357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Where</w:t>
      </w:r>
      <w:r w:rsidR="000F3EDF" w:rsidRPr="000F3EDF">
        <w:rPr>
          <w:rFonts w:ascii="Arial" w:eastAsia="Arial" w:hAnsi="Arial" w:cs="Times New Roman"/>
        </w:rPr>
        <w:t xml:space="preserve"> </w:t>
      </w:r>
      <w:r w:rsidR="00871CB8">
        <w:rPr>
          <w:rFonts w:ascii="Arial" w:eastAsia="Arial" w:hAnsi="Arial" w:cs="Times New Roman"/>
        </w:rPr>
        <w:t>council</w:t>
      </w:r>
      <w:r w:rsidR="000E0CE7">
        <w:rPr>
          <w:rFonts w:ascii="Arial" w:eastAsia="Arial" w:hAnsi="Arial" w:cs="Times New Roman"/>
        </w:rPr>
        <w:t>s</w:t>
      </w:r>
      <w:r w:rsidR="00871CB8" w:rsidRPr="000F3EDF">
        <w:rPr>
          <w:rFonts w:ascii="Arial" w:eastAsia="Arial" w:hAnsi="Arial" w:cs="Times New Roman"/>
        </w:rPr>
        <w:t xml:space="preserve"> </w:t>
      </w:r>
      <w:r w:rsidR="000F3EDF" w:rsidRPr="000F3EDF">
        <w:rPr>
          <w:rFonts w:ascii="Arial" w:eastAsia="Arial" w:hAnsi="Arial" w:cs="Times New Roman"/>
        </w:rPr>
        <w:t>conclude they are acting as agent, the accounting will follow the treatment set out in Code paragraph 2.6.2.4</w:t>
      </w:r>
      <w:r w:rsidR="00356EBD">
        <w:rPr>
          <w:rFonts w:ascii="Arial" w:eastAsia="Arial" w:hAnsi="Arial" w:cs="Times New Roman"/>
        </w:rPr>
        <w:t xml:space="preserve"> and detailed in section 3 of the </w:t>
      </w:r>
      <w:hyperlink r:id="rId17" w:history="1">
        <w:r w:rsidR="00356EBD" w:rsidRPr="00356EBD">
          <w:rPr>
            <w:rStyle w:val="Hyperlink"/>
            <w:rFonts w:ascii="Arial" w:eastAsia="Arial" w:hAnsi="Arial" w:cs="Times New Roman"/>
          </w:rPr>
          <w:t>guidance on Guidance on Accoun</w:t>
        </w:r>
        <w:r w:rsidR="00356EBD" w:rsidRPr="00356EBD">
          <w:rPr>
            <w:rStyle w:val="Hyperlink"/>
            <w:rFonts w:ascii="Arial" w:eastAsia="Arial" w:hAnsi="Arial" w:cs="Times New Roman"/>
          </w:rPr>
          <w:t>t</w:t>
        </w:r>
        <w:r w:rsidR="00356EBD" w:rsidRPr="00356EBD">
          <w:rPr>
            <w:rStyle w:val="Hyperlink"/>
            <w:rFonts w:ascii="Arial" w:eastAsia="Arial" w:hAnsi="Arial" w:cs="Times New Roman"/>
          </w:rPr>
          <w:t>ing for Coronavirus Grants issued on 13 May 2021.</w:t>
        </w:r>
      </w:hyperlink>
      <w:r w:rsidR="00356EBD">
        <w:rPr>
          <w:rFonts w:ascii="Arial" w:eastAsia="Arial" w:hAnsi="Arial" w:cs="Times New Roman"/>
        </w:rPr>
        <w:t xml:space="preserve"> </w:t>
      </w:r>
    </w:p>
    <w:p w14:paraId="10F65F0B" w14:textId="685E33B5" w:rsidR="000F3EDF" w:rsidRPr="000F3EDF" w:rsidRDefault="00D536A5" w:rsidP="000F3EDF">
      <w:pPr>
        <w:numPr>
          <w:ilvl w:val="0"/>
          <w:numId w:val="2"/>
        </w:numPr>
        <w:spacing w:after="240" w:line="240" w:lineRule="exact"/>
        <w:ind w:left="714" w:hanging="357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Where councils conclude</w:t>
      </w:r>
      <w:r w:rsidR="000F3EDF" w:rsidRPr="000F3EDF">
        <w:rPr>
          <w:rFonts w:ascii="Arial" w:eastAsia="Arial" w:hAnsi="Arial" w:cs="Times New Roman"/>
        </w:rPr>
        <w:t xml:space="preserve"> </w:t>
      </w:r>
      <w:r w:rsidR="00267703">
        <w:rPr>
          <w:rFonts w:ascii="Arial" w:eastAsia="Arial" w:hAnsi="Arial" w:cs="Times New Roman"/>
        </w:rPr>
        <w:t>they are</w:t>
      </w:r>
      <w:r w:rsidR="00BC4C96" w:rsidRPr="000F3EDF">
        <w:rPr>
          <w:rFonts w:ascii="Arial" w:eastAsia="Arial" w:hAnsi="Arial" w:cs="Times New Roman"/>
        </w:rPr>
        <w:t xml:space="preserve"> </w:t>
      </w:r>
      <w:r w:rsidR="000F3EDF" w:rsidRPr="000F3EDF">
        <w:rPr>
          <w:rFonts w:ascii="Arial" w:eastAsia="Arial" w:hAnsi="Arial" w:cs="Times New Roman"/>
        </w:rPr>
        <w:t>acting as ‘principal’, the following references in the Code provide clarification on the accounting and measurement requirements.</w:t>
      </w:r>
    </w:p>
    <w:p w14:paraId="56A8D5CD" w14:textId="77777777" w:rsidR="000F3EDF" w:rsidRPr="000F3EDF" w:rsidRDefault="000F3EDF" w:rsidP="000F3EDF">
      <w:pPr>
        <w:numPr>
          <w:ilvl w:val="0"/>
          <w:numId w:val="2"/>
        </w:numPr>
        <w:spacing w:after="240" w:line="240" w:lineRule="exact"/>
        <w:ind w:left="714" w:hanging="357"/>
        <w:rPr>
          <w:rFonts w:ascii="Arial" w:eastAsia="Arial" w:hAnsi="Arial" w:cs="Times New Roman"/>
        </w:rPr>
      </w:pPr>
      <w:r w:rsidRPr="000F3EDF">
        <w:rPr>
          <w:rFonts w:ascii="Arial" w:eastAsia="Arial" w:hAnsi="Arial" w:cs="Times New Roman"/>
        </w:rPr>
        <w:lastRenderedPageBreak/>
        <w:t>Paragraph 5.1.1.5 of the Code explains that the following public sector interpretations from IPSAS 12 - Inventories have been adopted by the Code that are relevant to stock acquired through non-exchange transactions:</w:t>
      </w:r>
    </w:p>
    <w:p w14:paraId="261F0B24" w14:textId="77777777" w:rsidR="000F3EDF" w:rsidRPr="000F3EDF" w:rsidRDefault="000F3EDF" w:rsidP="000F3EDF">
      <w:pPr>
        <w:numPr>
          <w:ilvl w:val="7"/>
          <w:numId w:val="1"/>
        </w:numPr>
        <w:spacing w:after="240" w:line="240" w:lineRule="exact"/>
        <w:ind w:left="1560" w:hanging="567"/>
        <w:rPr>
          <w:rFonts w:ascii="Arial" w:eastAsia="Arial" w:hAnsi="Arial" w:cs="Times New Roman"/>
          <w:i/>
          <w:iCs/>
        </w:rPr>
      </w:pPr>
      <w:r w:rsidRPr="000F3EDF">
        <w:rPr>
          <w:rFonts w:ascii="Arial" w:eastAsia="Arial" w:hAnsi="Arial" w:cs="Times New Roman"/>
          <w:i/>
          <w:iCs/>
        </w:rPr>
        <w:t xml:space="preserve">Inventories shall be measured at the lower of cost and net realisable value, except where inventories are acquired through a non-exchange transaction in which case their cost is deemed to be their fair value as at the date of acquisition. </w:t>
      </w:r>
    </w:p>
    <w:p w14:paraId="0FFB2C9D" w14:textId="77777777" w:rsidR="000F3EDF" w:rsidRPr="000F3EDF" w:rsidRDefault="000F3EDF" w:rsidP="000F3EDF">
      <w:pPr>
        <w:numPr>
          <w:ilvl w:val="7"/>
          <w:numId w:val="1"/>
        </w:numPr>
        <w:spacing w:after="240" w:line="240" w:lineRule="exact"/>
        <w:ind w:left="1560" w:hanging="567"/>
        <w:rPr>
          <w:rFonts w:ascii="Arial" w:eastAsia="Arial" w:hAnsi="Arial" w:cs="Times New Roman"/>
        </w:rPr>
      </w:pPr>
      <w:r w:rsidRPr="000F3EDF">
        <w:rPr>
          <w:rFonts w:ascii="Arial" w:eastAsia="Arial" w:hAnsi="Arial" w:cs="Times New Roman"/>
          <w:i/>
          <w:iCs/>
        </w:rPr>
        <w:t xml:space="preserve">Inventories shall be measured at the lower of cost and current replacement cost where they are held for distribution at no charge or for a nominal charge; or consumption in the production process of goods to be distributed at no charge or for a nominal charge. </w:t>
      </w:r>
    </w:p>
    <w:p w14:paraId="31EB2FEB" w14:textId="75D9AF3F" w:rsidR="000F3EDF" w:rsidRDefault="000F3EDF" w:rsidP="007D3DDE">
      <w:pPr>
        <w:numPr>
          <w:ilvl w:val="0"/>
          <w:numId w:val="2"/>
        </w:numPr>
        <w:spacing w:after="240" w:line="240" w:lineRule="exact"/>
        <w:ind w:left="714" w:hanging="357"/>
        <w:contextualSpacing/>
        <w:rPr>
          <w:rFonts w:ascii="Arial" w:eastAsia="Arial" w:hAnsi="Arial" w:cs="Times New Roman"/>
        </w:rPr>
      </w:pPr>
      <w:r w:rsidRPr="000F3EDF">
        <w:rPr>
          <w:rFonts w:ascii="Arial" w:eastAsia="Arial" w:hAnsi="Arial" w:cs="Times New Roman"/>
        </w:rPr>
        <w:t xml:space="preserve">The accounting requirements are then set out in paragraphs 5.1.2.8 and 5.1.2.9 (for recognition of the stock) and 5.1.2.18 (for issues from the stock). </w:t>
      </w:r>
      <w:r w:rsidR="0065038E">
        <w:rPr>
          <w:rFonts w:ascii="Arial" w:eastAsia="Arial" w:hAnsi="Arial" w:cs="Times New Roman"/>
        </w:rPr>
        <w:t>NSS</w:t>
      </w:r>
      <w:r w:rsidR="00FB7F5A">
        <w:rPr>
          <w:rFonts w:ascii="Arial" w:eastAsia="Arial" w:hAnsi="Arial" w:cs="Times New Roman"/>
        </w:rPr>
        <w:t xml:space="preserve"> is providing the required information as they did for health boards. </w:t>
      </w:r>
      <w:r w:rsidRPr="000F3EDF">
        <w:rPr>
          <w:rFonts w:ascii="Arial" w:eastAsia="Arial" w:hAnsi="Arial" w:cs="Times New Roman"/>
        </w:rPr>
        <w:t xml:space="preserve">Typical accounting entries for </w:t>
      </w:r>
      <w:r w:rsidR="00DA52BF">
        <w:rPr>
          <w:rFonts w:ascii="Arial" w:eastAsia="Arial" w:hAnsi="Arial" w:cs="Times New Roman"/>
        </w:rPr>
        <w:t>councils</w:t>
      </w:r>
      <w:r w:rsidR="00DA52BF" w:rsidRPr="000F3EDF">
        <w:rPr>
          <w:rFonts w:ascii="Arial" w:eastAsia="Arial" w:hAnsi="Arial" w:cs="Times New Roman"/>
        </w:rPr>
        <w:t xml:space="preserve"> </w:t>
      </w:r>
      <w:r w:rsidRPr="000F3EDF">
        <w:rPr>
          <w:rFonts w:ascii="Arial" w:eastAsia="Arial" w:hAnsi="Arial" w:cs="Times New Roman"/>
        </w:rPr>
        <w:t xml:space="preserve">acting as principal should be as follows: </w:t>
      </w:r>
    </w:p>
    <w:p w14:paraId="3CB48A2A" w14:textId="77777777" w:rsidR="00E80F87" w:rsidRPr="000F3EDF" w:rsidRDefault="00E80F87" w:rsidP="00E80F87">
      <w:pPr>
        <w:spacing w:after="240" w:line="240" w:lineRule="exact"/>
        <w:ind w:left="360"/>
        <w:contextualSpacing/>
        <w:rPr>
          <w:rFonts w:ascii="Arial" w:eastAsia="Arial" w:hAnsi="Arial" w:cs="Times New Roman"/>
        </w:rPr>
      </w:pPr>
    </w:p>
    <w:p w14:paraId="269A1CA5" w14:textId="77777777" w:rsidR="000F3EDF" w:rsidRPr="00E80F87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lang w:eastAsia="en-GB"/>
        </w:rPr>
      </w:pPr>
      <w:r w:rsidRPr="00E80F87">
        <w:rPr>
          <w:rFonts w:ascii="Arial" w:eastAsia="Times New Roman" w:hAnsi="Arial" w:cs="Times New Roman"/>
          <w:u w:val="single"/>
          <w:lang w:eastAsia="en-GB"/>
        </w:rPr>
        <w:t>Initial receipt of the stock</w:t>
      </w:r>
      <w:r w:rsidRPr="00E80F87">
        <w:rPr>
          <w:rFonts w:ascii="Arial" w:eastAsia="Times New Roman" w:hAnsi="Arial" w:cs="Times New Roman"/>
          <w:lang w:eastAsia="en-GB"/>
        </w:rPr>
        <w:t>:</w:t>
      </w:r>
    </w:p>
    <w:p w14:paraId="0149AA5B" w14:textId="77777777" w:rsidR="000F3EDF" w:rsidRPr="000F3EDF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>Dr Stock</w:t>
      </w:r>
    </w:p>
    <w:p w14:paraId="02191252" w14:textId="0EFEF5C4" w:rsidR="000F3EDF" w:rsidRPr="000F3EDF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>Cr Donated Inventories Account</w:t>
      </w:r>
      <w:r w:rsidR="000C38C5">
        <w:rPr>
          <w:rFonts w:ascii="Arial" w:eastAsia="Times New Roman" w:hAnsi="Arial" w:cs="Times New Roman"/>
          <w:sz w:val="20"/>
          <w:szCs w:val="20"/>
          <w:lang w:eastAsia="en-GB"/>
        </w:rPr>
        <w:t xml:space="preserve"> *</w:t>
      </w:r>
    </w:p>
    <w:p w14:paraId="16E07C2E" w14:textId="66271B2B" w:rsidR="000F3EDF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</w:pPr>
      <w:r w:rsidRPr="000F3EDF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>(measured at the lower of Fair Value on receipt or current replacement cost)</w:t>
      </w:r>
    </w:p>
    <w:p w14:paraId="054A3EF4" w14:textId="3B24ED03" w:rsidR="000C38C5" w:rsidRPr="000F3EDF" w:rsidRDefault="000C38C5" w:rsidP="000F3EDF">
      <w:pPr>
        <w:spacing w:after="240" w:line="240" w:lineRule="exact"/>
        <w:ind w:left="1560"/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 xml:space="preserve">(* note – </w:t>
      </w:r>
      <w:r w:rsidR="00F55B74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>LASAAC</w:t>
      </w:r>
      <w:r w:rsidR="00E46D15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 xml:space="preserve">’s view is </w:t>
      </w:r>
      <w:r w:rsidR="00F55B74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 xml:space="preserve">that </w:t>
      </w:r>
      <w:r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 xml:space="preserve">the Donated Inventories Account </w:t>
      </w:r>
      <w:r w:rsidR="00186DB1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>should be included</w:t>
      </w:r>
      <w:r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 xml:space="preserve"> in current liabilities on the balance sheet with the inventory being consumed within one year).</w:t>
      </w:r>
    </w:p>
    <w:p w14:paraId="3D08AC04" w14:textId="77777777" w:rsidR="000F3EDF" w:rsidRPr="00E80F87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lang w:eastAsia="en-GB"/>
        </w:rPr>
      </w:pPr>
      <w:r w:rsidRPr="00E80F87">
        <w:rPr>
          <w:rFonts w:ascii="Arial" w:eastAsia="Times New Roman" w:hAnsi="Arial" w:cs="Times New Roman"/>
          <w:u w:val="single"/>
          <w:lang w:eastAsia="en-GB"/>
        </w:rPr>
        <w:t>Issues of the stock</w:t>
      </w:r>
      <w:r w:rsidRPr="00E80F87">
        <w:rPr>
          <w:rFonts w:ascii="Arial" w:eastAsia="Times New Roman" w:hAnsi="Arial" w:cs="Times New Roman"/>
          <w:lang w:eastAsia="en-GB"/>
        </w:rPr>
        <w:t>:</w:t>
      </w:r>
    </w:p>
    <w:p w14:paraId="10BBE298" w14:textId="48648126" w:rsidR="000F3EDF" w:rsidRPr="000F3EDF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sz w:val="20"/>
          <w:szCs w:val="20"/>
          <w:lang w:eastAsia="en-GB"/>
        </w:rPr>
      </w:pPr>
      <w:bookmarkStart w:id="3" w:name="_Hlk75435841"/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 xml:space="preserve">Dr </w:t>
      </w:r>
      <w:bookmarkStart w:id="4" w:name="_Hlk75435889"/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>CIES (</w:t>
      </w:r>
      <w:r w:rsidR="00F55B74">
        <w:rPr>
          <w:rFonts w:ascii="Arial" w:eastAsia="Times New Roman" w:hAnsi="Arial" w:cs="Times New Roman"/>
          <w:sz w:val="20"/>
          <w:szCs w:val="20"/>
          <w:lang w:eastAsia="en-GB"/>
        </w:rPr>
        <w:t xml:space="preserve">expenditure charged </w:t>
      </w:r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>to appropriate service line)</w:t>
      </w:r>
      <w:bookmarkEnd w:id="4"/>
    </w:p>
    <w:p w14:paraId="12F0A7CE" w14:textId="77777777" w:rsidR="000F3EDF" w:rsidRPr="000F3EDF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 xml:space="preserve">Cr Stock </w:t>
      </w:r>
    </w:p>
    <w:p w14:paraId="3562415C" w14:textId="77777777" w:rsidR="000F3EDF" w:rsidRPr="000F3EDF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</w:pPr>
      <w:r w:rsidRPr="000F3EDF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>(issue of the stock on the measurement basis above)</w:t>
      </w:r>
    </w:p>
    <w:p w14:paraId="157230C1" w14:textId="32AFE530" w:rsidR="000F3EDF" w:rsidRPr="000F3EDF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>Dr Donated Inventories Account</w:t>
      </w:r>
      <w:r w:rsidR="000C38C5">
        <w:rPr>
          <w:rFonts w:ascii="Arial" w:eastAsia="Times New Roman" w:hAnsi="Arial" w:cs="Times New Roman"/>
          <w:sz w:val="20"/>
          <w:szCs w:val="20"/>
          <w:lang w:eastAsia="en-GB"/>
        </w:rPr>
        <w:t xml:space="preserve"> *</w:t>
      </w:r>
    </w:p>
    <w:p w14:paraId="58C516C8" w14:textId="66BC8AF2" w:rsidR="000F3EDF" w:rsidRPr="000F3EDF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>Cr CIES (</w:t>
      </w:r>
      <w:r w:rsidR="00186DB1">
        <w:rPr>
          <w:rFonts w:ascii="Arial" w:eastAsia="Times New Roman" w:hAnsi="Arial" w:cs="Times New Roman"/>
          <w:sz w:val="20"/>
          <w:szCs w:val="20"/>
          <w:lang w:eastAsia="en-GB"/>
        </w:rPr>
        <w:t xml:space="preserve">income credited </w:t>
      </w:r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>to appropriate service</w:t>
      </w:r>
      <w:r w:rsidR="00186DB1">
        <w:rPr>
          <w:rFonts w:ascii="Arial" w:eastAsia="Times New Roman" w:hAnsi="Arial" w:cs="Times New Roman"/>
          <w:sz w:val="20"/>
          <w:szCs w:val="20"/>
          <w:lang w:eastAsia="en-GB"/>
        </w:rPr>
        <w:t xml:space="preserve"> line</w:t>
      </w:r>
      <w:r w:rsidRPr="000F3EDF">
        <w:rPr>
          <w:rFonts w:ascii="Arial" w:eastAsia="Times New Roman" w:hAnsi="Arial" w:cs="Times New Roman"/>
          <w:sz w:val="20"/>
          <w:szCs w:val="20"/>
          <w:lang w:eastAsia="en-GB"/>
        </w:rPr>
        <w:t>)</w:t>
      </w:r>
    </w:p>
    <w:p w14:paraId="1C07D91D" w14:textId="77777777" w:rsidR="000F3EDF" w:rsidRPr="000F3EDF" w:rsidRDefault="000F3EDF" w:rsidP="000F3EDF">
      <w:pPr>
        <w:spacing w:after="240" w:line="240" w:lineRule="exact"/>
        <w:ind w:left="1560"/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</w:pPr>
      <w:r w:rsidRPr="000F3EDF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>(to write down the value of the ‘donation’ to the CIES)</w:t>
      </w:r>
    </w:p>
    <w:bookmarkEnd w:id="3"/>
    <w:p w14:paraId="7420FAEF" w14:textId="4F0C40BB" w:rsidR="000F3EDF" w:rsidRDefault="000F3EDF" w:rsidP="008F0530">
      <w:pPr>
        <w:numPr>
          <w:ilvl w:val="0"/>
          <w:numId w:val="2"/>
        </w:numPr>
        <w:spacing w:after="240" w:line="240" w:lineRule="exact"/>
        <w:ind w:left="714" w:hanging="357"/>
        <w:rPr>
          <w:rFonts w:ascii="Arial" w:eastAsia="Arial" w:hAnsi="Arial" w:cs="Times New Roman"/>
        </w:rPr>
      </w:pPr>
      <w:r w:rsidRPr="000F3EDF">
        <w:rPr>
          <w:rFonts w:ascii="Arial" w:eastAsia="Arial" w:hAnsi="Arial" w:cs="Times New Roman"/>
        </w:rPr>
        <w:t xml:space="preserve">Any residual stock at </w:t>
      </w:r>
      <w:r w:rsidR="00432197">
        <w:rPr>
          <w:rFonts w:ascii="Arial" w:eastAsia="Arial" w:hAnsi="Arial" w:cs="Times New Roman"/>
        </w:rPr>
        <w:t>31 March 2021</w:t>
      </w:r>
      <w:r w:rsidRPr="000F3EDF">
        <w:rPr>
          <w:rFonts w:ascii="Arial" w:eastAsia="Arial" w:hAnsi="Arial" w:cs="Times New Roman"/>
        </w:rPr>
        <w:t xml:space="preserve"> will be matched with the balance in the </w:t>
      </w:r>
      <w:r w:rsidR="00B860E4">
        <w:rPr>
          <w:rFonts w:ascii="Arial" w:eastAsia="Arial" w:hAnsi="Arial" w:cs="Times New Roman"/>
        </w:rPr>
        <w:t>d</w:t>
      </w:r>
      <w:r w:rsidRPr="000F3EDF">
        <w:rPr>
          <w:rFonts w:ascii="Arial" w:eastAsia="Arial" w:hAnsi="Arial" w:cs="Times New Roman"/>
        </w:rPr>
        <w:t xml:space="preserve">onated Inventories </w:t>
      </w:r>
      <w:r w:rsidR="00B860E4">
        <w:rPr>
          <w:rFonts w:ascii="Arial" w:eastAsia="Arial" w:hAnsi="Arial" w:cs="Times New Roman"/>
        </w:rPr>
        <w:t>a</w:t>
      </w:r>
      <w:r w:rsidRPr="000F3EDF">
        <w:rPr>
          <w:rFonts w:ascii="Arial" w:eastAsia="Arial" w:hAnsi="Arial" w:cs="Times New Roman"/>
        </w:rPr>
        <w:t>ccount. Where transactions or balances are material, there may be merit in including commentary within accounting policies that explains to readers of the accounts how PPE stock has been accounted for.</w:t>
      </w:r>
    </w:p>
    <w:p w14:paraId="468C2AB2" w14:textId="763F70F9" w:rsidR="008F0530" w:rsidRDefault="008F0530" w:rsidP="00DD100C">
      <w:pPr>
        <w:numPr>
          <w:ilvl w:val="0"/>
          <w:numId w:val="2"/>
        </w:numPr>
        <w:spacing w:after="240" w:line="240" w:lineRule="exact"/>
        <w:ind w:left="714" w:hanging="357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Should there be a case where the residual stock balances will not be recovered through use due to </w:t>
      </w:r>
      <w:r w:rsidR="008E263E">
        <w:rPr>
          <w:rFonts w:ascii="Arial" w:eastAsia="Arial" w:hAnsi="Arial" w:cs="Times New Roman"/>
        </w:rPr>
        <w:t>obsolescence or being no longer fit for purpose, stock</w:t>
      </w:r>
      <w:r w:rsidR="00C94CEE">
        <w:rPr>
          <w:rFonts w:ascii="Arial" w:eastAsia="Arial" w:hAnsi="Arial" w:cs="Times New Roman"/>
        </w:rPr>
        <w:t xml:space="preserve">s held </w:t>
      </w:r>
      <w:r w:rsidR="008E263E">
        <w:rPr>
          <w:rFonts w:ascii="Arial" w:eastAsia="Arial" w:hAnsi="Arial" w:cs="Times New Roman"/>
        </w:rPr>
        <w:t xml:space="preserve"> should be written down to their realisable value in accordance with paragraph 5.1.2.15 of the Code. The accounting entries </w:t>
      </w:r>
      <w:r w:rsidR="00C62821">
        <w:rPr>
          <w:rFonts w:ascii="Arial" w:eastAsia="Arial" w:hAnsi="Arial" w:cs="Times New Roman"/>
        </w:rPr>
        <w:t xml:space="preserve">for </w:t>
      </w:r>
      <w:r w:rsidR="00C94CEE">
        <w:rPr>
          <w:rFonts w:ascii="Arial" w:eastAsia="Arial" w:hAnsi="Arial" w:cs="Times New Roman"/>
        </w:rPr>
        <w:t>any write down w</w:t>
      </w:r>
      <w:r w:rsidR="008E263E">
        <w:rPr>
          <w:rFonts w:ascii="Arial" w:eastAsia="Arial" w:hAnsi="Arial" w:cs="Times New Roman"/>
        </w:rPr>
        <w:t>ill follow the same entries for an issue of stock</w:t>
      </w:r>
      <w:r w:rsidR="00C94CEE">
        <w:rPr>
          <w:rFonts w:ascii="Arial" w:eastAsia="Arial" w:hAnsi="Arial" w:cs="Times New Roman"/>
        </w:rPr>
        <w:t xml:space="preserve">, </w:t>
      </w:r>
      <w:r w:rsidR="008E263E">
        <w:rPr>
          <w:rFonts w:ascii="Arial" w:eastAsia="Arial" w:hAnsi="Arial" w:cs="Times New Roman"/>
        </w:rPr>
        <w:t>resulting in a write down of the stock balance held and the value of the donated inventories account.</w:t>
      </w:r>
    </w:p>
    <w:p w14:paraId="032CE020" w14:textId="51CAF9C3" w:rsidR="007D3DDE" w:rsidRPr="007D3DDE" w:rsidRDefault="00DD100C" w:rsidP="00BE35C9">
      <w:pPr>
        <w:numPr>
          <w:ilvl w:val="0"/>
          <w:numId w:val="2"/>
        </w:numPr>
        <w:spacing w:after="240" w:line="240" w:lineRule="exact"/>
        <w:ind w:left="714" w:hanging="357"/>
        <w:contextualSpacing/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</w:pPr>
      <w:r w:rsidRPr="007D3DDE">
        <w:rPr>
          <w:rFonts w:ascii="Arial" w:eastAsia="Arial" w:hAnsi="Arial" w:cs="Times New Roman"/>
        </w:rPr>
        <w:lastRenderedPageBreak/>
        <w:t xml:space="preserve">Councils should have regard to paragraph 3.4.2.27 of the Code covering the Presentation of Financial Statements. This section of the Code permits </w:t>
      </w:r>
      <w:r w:rsidR="00C62821" w:rsidRPr="007D3DDE">
        <w:rPr>
          <w:rFonts w:ascii="Arial" w:eastAsia="Arial" w:hAnsi="Arial" w:cs="Times New Roman"/>
        </w:rPr>
        <w:t xml:space="preserve">councils </w:t>
      </w:r>
      <w:r w:rsidRPr="007D3DDE">
        <w:rPr>
          <w:rFonts w:ascii="Arial" w:eastAsia="Arial" w:hAnsi="Arial" w:cs="Times New Roman"/>
        </w:rPr>
        <w:t>not to provide a specific disclosure if information is not material. If councils do have material</w:t>
      </w:r>
      <w:r w:rsidR="00907D9C" w:rsidRPr="007D3DDE">
        <w:rPr>
          <w:rFonts w:ascii="Arial" w:eastAsia="Arial" w:hAnsi="Arial" w:cs="Times New Roman"/>
        </w:rPr>
        <w:t xml:space="preserve"> stock balances and/or write downs</w:t>
      </w:r>
      <w:r w:rsidRPr="007D3DDE">
        <w:rPr>
          <w:rFonts w:ascii="Arial" w:eastAsia="Arial" w:hAnsi="Arial" w:cs="Times New Roman"/>
        </w:rPr>
        <w:t xml:space="preserve">, disclosures should follow paragraph 5.1.4.2. of the Code. </w:t>
      </w:r>
    </w:p>
    <w:p w14:paraId="72DC9F47" w14:textId="77777777" w:rsidR="007D3DDE" w:rsidRPr="007D3DDE" w:rsidRDefault="007D3DDE" w:rsidP="007D3DDE">
      <w:pPr>
        <w:spacing w:after="240" w:line="240" w:lineRule="exact"/>
        <w:ind w:left="357"/>
        <w:contextualSpacing/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</w:pPr>
    </w:p>
    <w:p w14:paraId="1497CB0F" w14:textId="304FDF0E" w:rsidR="00BE35C9" w:rsidRDefault="00BE35C9" w:rsidP="00BE35C9">
      <w:pPr>
        <w:spacing w:after="240" w:line="240" w:lineRule="exact"/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  <w:t>Further Considerations</w:t>
      </w:r>
      <w:r w:rsidR="00572A49"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  <w:t xml:space="preserve"> for IJB</w:t>
      </w:r>
      <w:r w:rsidR="00B860E4">
        <w:rPr>
          <w:rFonts w:ascii="Georgia" w:eastAsia="Times New Roman" w:hAnsi="Georgia" w:cs="Times New Roman"/>
          <w:color w:val="7030A0"/>
          <w:sz w:val="24"/>
          <w:szCs w:val="24"/>
          <w:lang w:eastAsia="en-GB"/>
        </w:rPr>
        <w:t>s</w:t>
      </w:r>
    </w:p>
    <w:p w14:paraId="2486A50F" w14:textId="494DE458" w:rsidR="00356EBD" w:rsidRPr="007D3DDE" w:rsidRDefault="00BE35C9" w:rsidP="00426532">
      <w:pPr>
        <w:pStyle w:val="ListParagraph"/>
        <w:numPr>
          <w:ilvl w:val="0"/>
          <w:numId w:val="2"/>
        </w:numPr>
        <w:spacing w:after="240" w:line="240" w:lineRule="exact"/>
      </w:pPr>
      <w:r w:rsidRPr="00426532">
        <w:rPr>
          <w:rFonts w:ascii="Arial" w:eastAsia="Arial" w:hAnsi="Arial" w:cs="Times New Roman"/>
        </w:rPr>
        <w:t xml:space="preserve">Councils </w:t>
      </w:r>
      <w:r w:rsidR="00F90DAE">
        <w:rPr>
          <w:rFonts w:ascii="Arial" w:eastAsia="Arial" w:hAnsi="Arial" w:cs="Times New Roman"/>
        </w:rPr>
        <w:t xml:space="preserve">and IJBs </w:t>
      </w:r>
      <w:r w:rsidRPr="00426532">
        <w:rPr>
          <w:rFonts w:ascii="Arial" w:eastAsia="Arial" w:hAnsi="Arial" w:cs="Times New Roman"/>
        </w:rPr>
        <w:t xml:space="preserve">should consider the impact of these transactions on the </w:t>
      </w:r>
      <w:r w:rsidR="00F820CC">
        <w:rPr>
          <w:rFonts w:ascii="Arial" w:eastAsia="Arial" w:hAnsi="Arial" w:cs="Times New Roman"/>
        </w:rPr>
        <w:t xml:space="preserve">financial statements of </w:t>
      </w:r>
      <w:r w:rsidR="00674650">
        <w:rPr>
          <w:rFonts w:ascii="Arial" w:eastAsia="Arial" w:hAnsi="Arial" w:cs="Times New Roman"/>
        </w:rPr>
        <w:t>IJBs</w:t>
      </w:r>
      <w:r w:rsidRPr="00426532">
        <w:rPr>
          <w:rFonts w:ascii="Arial" w:eastAsia="Arial" w:hAnsi="Arial" w:cs="Times New Roman"/>
        </w:rPr>
        <w:t xml:space="preserve">. </w:t>
      </w:r>
      <w:r w:rsidR="00491366">
        <w:rPr>
          <w:rFonts w:ascii="Arial" w:eastAsia="Arial" w:hAnsi="Arial" w:cs="Times New Roman"/>
        </w:rPr>
        <w:t>The appropriate a</w:t>
      </w:r>
      <w:r w:rsidR="00980C7A">
        <w:rPr>
          <w:rFonts w:ascii="Arial" w:eastAsia="Arial" w:hAnsi="Arial" w:cs="Times New Roman"/>
        </w:rPr>
        <w:t>ccounting t</w:t>
      </w:r>
      <w:r w:rsidR="00F15CEC">
        <w:rPr>
          <w:rFonts w:ascii="Arial" w:eastAsia="Arial" w:hAnsi="Arial" w:cs="Times New Roman"/>
        </w:rPr>
        <w:t xml:space="preserve">reatment should be consistent with </w:t>
      </w:r>
      <w:r w:rsidR="00980C7A">
        <w:rPr>
          <w:rFonts w:ascii="Arial" w:eastAsia="Arial" w:hAnsi="Arial" w:cs="Times New Roman"/>
        </w:rPr>
        <w:t>the integration scheme. However, g</w:t>
      </w:r>
      <w:r w:rsidRPr="00426532">
        <w:rPr>
          <w:rFonts w:ascii="Arial" w:eastAsia="Arial" w:hAnsi="Arial" w:cs="Times New Roman"/>
        </w:rPr>
        <w:t xml:space="preserve">iven </w:t>
      </w:r>
      <w:r w:rsidR="00794D15">
        <w:rPr>
          <w:rFonts w:ascii="Arial" w:eastAsia="Arial" w:hAnsi="Arial" w:cs="Times New Roman"/>
        </w:rPr>
        <w:t xml:space="preserve">that </w:t>
      </w:r>
      <w:r w:rsidRPr="00426532">
        <w:rPr>
          <w:rFonts w:ascii="Arial" w:eastAsia="Arial" w:hAnsi="Arial" w:cs="Times New Roman"/>
        </w:rPr>
        <w:t xml:space="preserve">the net </w:t>
      </w:r>
      <w:r w:rsidR="00426532">
        <w:rPr>
          <w:rFonts w:ascii="Arial" w:eastAsia="Arial" w:hAnsi="Arial" w:cs="Times New Roman"/>
        </w:rPr>
        <w:t>financial</w:t>
      </w:r>
      <w:r w:rsidRPr="00426532">
        <w:rPr>
          <w:rFonts w:ascii="Arial" w:eastAsia="Arial" w:hAnsi="Arial" w:cs="Times New Roman"/>
        </w:rPr>
        <w:t xml:space="preserve"> impact of </w:t>
      </w:r>
      <w:r w:rsidR="00420B08">
        <w:rPr>
          <w:rFonts w:ascii="Arial" w:eastAsia="Arial" w:hAnsi="Arial" w:cs="Times New Roman"/>
        </w:rPr>
        <w:t xml:space="preserve">the PPE transactions on councils (and health boards) is nil, </w:t>
      </w:r>
      <w:r w:rsidR="009B5188">
        <w:rPr>
          <w:rFonts w:ascii="Arial" w:eastAsia="Arial" w:hAnsi="Arial" w:cs="Times New Roman"/>
        </w:rPr>
        <w:t xml:space="preserve">it would be reasonable to conclude that </w:t>
      </w:r>
      <w:r w:rsidRPr="00426532">
        <w:rPr>
          <w:rFonts w:ascii="Arial" w:eastAsia="Arial" w:hAnsi="Arial" w:cs="Times New Roman"/>
        </w:rPr>
        <w:t xml:space="preserve">these </w:t>
      </w:r>
      <w:r w:rsidR="00630A44">
        <w:rPr>
          <w:rFonts w:ascii="Arial" w:eastAsia="Arial" w:hAnsi="Arial" w:cs="Times New Roman"/>
        </w:rPr>
        <w:t xml:space="preserve">transactions </w:t>
      </w:r>
      <w:r w:rsidR="004077F5">
        <w:rPr>
          <w:rFonts w:ascii="Arial" w:eastAsia="Arial" w:hAnsi="Arial" w:cs="Times New Roman"/>
        </w:rPr>
        <w:t xml:space="preserve">do not need to be reflected in increased </w:t>
      </w:r>
      <w:r w:rsidR="005C06DC">
        <w:rPr>
          <w:rFonts w:ascii="Arial" w:eastAsia="Arial" w:hAnsi="Arial" w:cs="Times New Roman"/>
        </w:rPr>
        <w:t>funding provided to</w:t>
      </w:r>
      <w:r w:rsidR="005E5167">
        <w:rPr>
          <w:rFonts w:ascii="Arial" w:eastAsia="Arial" w:hAnsi="Arial" w:cs="Times New Roman"/>
        </w:rPr>
        <w:t>,</w:t>
      </w:r>
      <w:r w:rsidR="005C06DC">
        <w:rPr>
          <w:rFonts w:ascii="Arial" w:eastAsia="Arial" w:hAnsi="Arial" w:cs="Times New Roman"/>
        </w:rPr>
        <w:t xml:space="preserve"> </w:t>
      </w:r>
      <w:r w:rsidR="00491366">
        <w:rPr>
          <w:rFonts w:ascii="Arial" w:eastAsia="Arial" w:hAnsi="Arial" w:cs="Times New Roman"/>
        </w:rPr>
        <w:t>and</w:t>
      </w:r>
      <w:r w:rsidR="005C06DC">
        <w:rPr>
          <w:rFonts w:ascii="Arial" w:eastAsia="Arial" w:hAnsi="Arial" w:cs="Times New Roman"/>
        </w:rPr>
        <w:t xml:space="preserve"> </w:t>
      </w:r>
      <w:r w:rsidR="008B02D0" w:rsidRPr="008B02D0">
        <w:rPr>
          <w:rFonts w:ascii="Arial" w:eastAsia="Arial" w:hAnsi="Arial" w:cs="Times New Roman"/>
        </w:rPr>
        <w:t>commissioning income received from,</w:t>
      </w:r>
      <w:r w:rsidR="00630A44" w:rsidRPr="00426532">
        <w:rPr>
          <w:rFonts w:ascii="Arial" w:eastAsia="Arial" w:hAnsi="Arial" w:cs="Times New Roman"/>
        </w:rPr>
        <w:t xml:space="preserve"> </w:t>
      </w:r>
      <w:r w:rsidR="005C06DC">
        <w:rPr>
          <w:rFonts w:ascii="Arial" w:eastAsia="Arial" w:hAnsi="Arial" w:cs="Times New Roman"/>
        </w:rPr>
        <w:t xml:space="preserve">the IJB. </w:t>
      </w:r>
    </w:p>
    <w:p w14:paraId="6FB3B2E4" w14:textId="77777777" w:rsidR="007D3DDE" w:rsidRPr="007D3DDE" w:rsidRDefault="007D3DDE" w:rsidP="007D3DDE">
      <w:pPr>
        <w:rPr>
          <w:rFonts w:ascii="Georgia" w:hAnsi="Georgia" w:cs="Arial"/>
          <w:color w:val="7030A0"/>
          <w:sz w:val="28"/>
          <w:szCs w:val="28"/>
        </w:rPr>
      </w:pPr>
      <w:r w:rsidRPr="007D3DDE">
        <w:rPr>
          <w:rFonts w:ascii="Georgia" w:hAnsi="Georgia" w:cs="Arial"/>
          <w:color w:val="7030A0"/>
          <w:sz w:val="28"/>
          <w:szCs w:val="28"/>
        </w:rPr>
        <w:t>COVID GRANTS PAID AS GRG</w:t>
      </w:r>
    </w:p>
    <w:p w14:paraId="6949FF41" w14:textId="5BE2C5E5" w:rsidR="007D3DDE" w:rsidRDefault="007D3DDE" w:rsidP="007D3DDE">
      <w:pPr>
        <w:rPr>
          <w:rFonts w:ascii="Arial" w:hAnsi="Arial" w:cs="Arial"/>
        </w:rPr>
      </w:pPr>
      <w:r>
        <w:rPr>
          <w:rFonts w:ascii="Arial" w:hAnsi="Arial" w:cs="Arial"/>
          <w:color w:val="7030A0"/>
        </w:rPr>
        <w:t>L</w:t>
      </w:r>
      <w:r>
        <w:rPr>
          <w:rFonts w:ascii="Arial" w:hAnsi="Arial" w:cs="Arial"/>
        </w:rPr>
        <w:t xml:space="preserve">ASAAC issued guidance on </w:t>
      </w:r>
      <w:hyperlink r:id="rId18" w:history="1">
        <w:r w:rsidRPr="00410BF1">
          <w:rPr>
            <w:rStyle w:val="Hyperlink"/>
            <w:rFonts w:ascii="Arial" w:hAnsi="Arial" w:cs="Arial"/>
          </w:rPr>
          <w:t>Accounting for Coronavirus Grants</w:t>
        </w:r>
      </w:hyperlink>
      <w:r>
        <w:rPr>
          <w:rFonts w:ascii="Arial" w:hAnsi="Arial" w:cs="Arial"/>
        </w:rPr>
        <w:t xml:space="preserve"> on 13 May 2021. This guidance provided practitioners with </w:t>
      </w:r>
      <w:r w:rsidRPr="00BD38B5">
        <w:rPr>
          <w:rFonts w:ascii="Arial" w:hAnsi="Arial" w:cs="Arial"/>
        </w:rPr>
        <w:t>LASAAC</w:t>
      </w:r>
      <w:r>
        <w:rPr>
          <w:rFonts w:ascii="Arial" w:hAnsi="Arial" w:cs="Arial"/>
        </w:rPr>
        <w:t>’s</w:t>
      </w:r>
      <w:r w:rsidRPr="00BD38B5">
        <w:rPr>
          <w:rFonts w:ascii="Arial" w:hAnsi="Arial" w:cs="Arial"/>
        </w:rPr>
        <w:t xml:space="preserve"> initial view of the accounting treatment for each grant as to whether principal or agent accounting applies which Councils should consider.</w:t>
      </w:r>
    </w:p>
    <w:p w14:paraId="56D257F9" w14:textId="77777777" w:rsidR="007D3DDE" w:rsidRDefault="007D3DDE" w:rsidP="007D3DDE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Following publication of this guidance, LASAAC has become aware of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queries regarding grants paid as GRG which LASAAC had assumed would be </w:t>
      </w:r>
      <w:r w:rsidRPr="00BD38B5">
        <w:rPr>
          <w:rFonts w:ascii="Arial" w:hAnsi="Arial" w:cs="Arial"/>
        </w:rPr>
        <w:t>accounted for in 2020-21 and would be matched to expenditure.</w:t>
      </w:r>
      <w:r>
        <w:rPr>
          <w:rFonts w:ascii="Arial" w:hAnsi="Arial" w:cs="Arial"/>
        </w:rPr>
        <w:t xml:space="preserve"> LASAAC’s initial view on these grants was that they would be accounted for as service income. </w:t>
      </w:r>
    </w:p>
    <w:p w14:paraId="5E85DE52" w14:textId="77777777" w:rsidR="007D3DDE" w:rsidRDefault="007D3DDE" w:rsidP="007D3DDE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grants which have been identified include:</w:t>
      </w:r>
    </w:p>
    <w:p w14:paraId="50AEDB16" w14:textId="77777777" w:rsidR="007D3DDE" w:rsidRPr="00BD38B5" w:rsidRDefault="007D3DDE" w:rsidP="007D3DD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D38B5">
        <w:rPr>
          <w:rFonts w:ascii="Arial" w:hAnsi="Arial" w:cs="Arial"/>
        </w:rPr>
        <w:t>Free school meals</w:t>
      </w:r>
    </w:p>
    <w:p w14:paraId="5F17B907" w14:textId="77777777" w:rsidR="007D3DDE" w:rsidRPr="00BD38B5" w:rsidRDefault="007D3DDE" w:rsidP="007D3DD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D38B5">
        <w:rPr>
          <w:rFonts w:ascii="Arial" w:hAnsi="Arial" w:cs="Arial"/>
        </w:rPr>
        <w:t xml:space="preserve">Death Registrations </w:t>
      </w:r>
    </w:p>
    <w:p w14:paraId="2C2219CF" w14:textId="384CBED1" w:rsidR="007D3DDE" w:rsidRDefault="007D3DDE" w:rsidP="007D3DDE">
      <w:pPr>
        <w:pStyle w:val="ListParagraph"/>
        <w:numPr>
          <w:ilvl w:val="1"/>
          <w:numId w:val="4"/>
        </w:numPr>
        <w:ind w:left="1434" w:hanging="357"/>
        <w:contextualSpacing w:val="0"/>
        <w:rPr>
          <w:rFonts w:ascii="Arial" w:hAnsi="Arial" w:cs="Arial"/>
        </w:rPr>
      </w:pPr>
      <w:r w:rsidRPr="00BD38B5">
        <w:rPr>
          <w:rFonts w:ascii="Arial" w:hAnsi="Arial" w:cs="Arial"/>
        </w:rPr>
        <w:t>Environmental Health Officers</w:t>
      </w:r>
    </w:p>
    <w:p w14:paraId="7341331C" w14:textId="233D3E6A" w:rsidR="007D3DDE" w:rsidRPr="007D3DDE" w:rsidRDefault="007D3DDE" w:rsidP="007D3D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above grants are identified in the guidance available on the </w:t>
      </w:r>
      <w:hyperlink r:id="rId19" w:history="1">
        <w:r w:rsidRPr="00167E95">
          <w:rPr>
            <w:rStyle w:val="Hyperlink"/>
            <w:rFonts w:ascii="Arial" w:hAnsi="Arial" w:cs="Arial"/>
          </w:rPr>
          <w:t>CIPFA website</w:t>
        </w:r>
      </w:hyperlink>
    </w:p>
    <w:p w14:paraId="3344F2FE" w14:textId="77777777" w:rsidR="007D3DDE" w:rsidRDefault="007D3DDE" w:rsidP="007D3DD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LASAAC has revised its view on these grants and wishes to notify Councils that the above grants should be accounted for as GRG as they would normally be.</w:t>
      </w:r>
    </w:p>
    <w:p w14:paraId="4C3DF183" w14:textId="77777777" w:rsidR="007D3DDE" w:rsidRDefault="007D3DDE" w:rsidP="007D3DDE">
      <w:pPr>
        <w:spacing w:after="240" w:line="240" w:lineRule="exact"/>
      </w:pPr>
    </w:p>
    <w:sectPr w:rsidR="007D3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961E32F"/>
    <w:multiLevelType w:val="hybridMultilevel"/>
    <w:tmpl w:val="327C0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A0F0C05E">
      <w:start w:val="1"/>
      <w:numFmt w:val="lowerLetter"/>
      <w:lvlText w:val="%8."/>
      <w:lvlJc w:val="left"/>
      <w:rPr>
        <w:i w:val="0"/>
        <w:iCs w:val="0"/>
      </w:rPr>
    </w:lvl>
    <w:lvl w:ilvl="8" w:tplc="FFFFFFFF">
      <w:numFmt w:val="decimal"/>
      <w:lvlText w:val=""/>
      <w:lvlJc w:val="left"/>
    </w:lvl>
  </w:abstractNum>
  <w:abstractNum w:abstractNumId="1" w15:restartNumberingAfterBreak="0">
    <w:nsid w:val="13195935"/>
    <w:multiLevelType w:val="hybridMultilevel"/>
    <w:tmpl w:val="09E4BC20"/>
    <w:lvl w:ilvl="0" w:tplc="634AA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4D87EB4">
      <w:start w:val="1"/>
      <w:numFmt w:val="decimal"/>
      <w:lvlText w:val="%3)"/>
      <w:lvlJc w:val="left"/>
      <w:pPr>
        <w:ind w:left="2544" w:hanging="564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9BC"/>
    <w:multiLevelType w:val="hybridMultilevel"/>
    <w:tmpl w:val="78B2E730"/>
    <w:lvl w:ilvl="0" w:tplc="634AA06E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ED13A3"/>
    <w:multiLevelType w:val="hybridMultilevel"/>
    <w:tmpl w:val="34643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DF"/>
    <w:rsid w:val="00076213"/>
    <w:rsid w:val="000C12A9"/>
    <w:rsid w:val="000C35D9"/>
    <w:rsid w:val="000C38C5"/>
    <w:rsid w:val="000E0CE7"/>
    <w:rsid w:val="000F3BB6"/>
    <w:rsid w:val="000F3EDF"/>
    <w:rsid w:val="00145478"/>
    <w:rsid w:val="00167E95"/>
    <w:rsid w:val="00186DB1"/>
    <w:rsid w:val="001D5FAE"/>
    <w:rsid w:val="001E0961"/>
    <w:rsid w:val="00234551"/>
    <w:rsid w:val="00267703"/>
    <w:rsid w:val="00296AF9"/>
    <w:rsid w:val="003064F3"/>
    <w:rsid w:val="00332FCE"/>
    <w:rsid w:val="00356EBD"/>
    <w:rsid w:val="003B5125"/>
    <w:rsid w:val="003D4733"/>
    <w:rsid w:val="004077F5"/>
    <w:rsid w:val="00420B08"/>
    <w:rsid w:val="00424B62"/>
    <w:rsid w:val="00426532"/>
    <w:rsid w:val="00432197"/>
    <w:rsid w:val="00467DFD"/>
    <w:rsid w:val="00491366"/>
    <w:rsid w:val="004A25AC"/>
    <w:rsid w:val="004D64E3"/>
    <w:rsid w:val="00572A49"/>
    <w:rsid w:val="005C06DC"/>
    <w:rsid w:val="005D2FD9"/>
    <w:rsid w:val="005E5167"/>
    <w:rsid w:val="00614A97"/>
    <w:rsid w:val="00630A44"/>
    <w:rsid w:val="0065038E"/>
    <w:rsid w:val="00674650"/>
    <w:rsid w:val="00701CBA"/>
    <w:rsid w:val="00761B20"/>
    <w:rsid w:val="00794D15"/>
    <w:rsid w:val="007A55EB"/>
    <w:rsid w:val="007B4CE7"/>
    <w:rsid w:val="007D3DDE"/>
    <w:rsid w:val="00856149"/>
    <w:rsid w:val="00871CB8"/>
    <w:rsid w:val="008A028A"/>
    <w:rsid w:val="008B02D0"/>
    <w:rsid w:val="008D5A68"/>
    <w:rsid w:val="008E263E"/>
    <w:rsid w:val="008F0530"/>
    <w:rsid w:val="00907D9C"/>
    <w:rsid w:val="0094536C"/>
    <w:rsid w:val="00980C7A"/>
    <w:rsid w:val="009B5188"/>
    <w:rsid w:val="009C57A9"/>
    <w:rsid w:val="00A13127"/>
    <w:rsid w:val="00A609D0"/>
    <w:rsid w:val="00A91592"/>
    <w:rsid w:val="00AB38A4"/>
    <w:rsid w:val="00B27FA0"/>
    <w:rsid w:val="00B3528C"/>
    <w:rsid w:val="00B43CFB"/>
    <w:rsid w:val="00B47777"/>
    <w:rsid w:val="00B82034"/>
    <w:rsid w:val="00B860E4"/>
    <w:rsid w:val="00BA3F6C"/>
    <w:rsid w:val="00BA7CC8"/>
    <w:rsid w:val="00BC10E3"/>
    <w:rsid w:val="00BC4C96"/>
    <w:rsid w:val="00BE35C9"/>
    <w:rsid w:val="00BF311F"/>
    <w:rsid w:val="00BF7262"/>
    <w:rsid w:val="00C33BB3"/>
    <w:rsid w:val="00C54DBE"/>
    <w:rsid w:val="00C60016"/>
    <w:rsid w:val="00C62821"/>
    <w:rsid w:val="00C8054D"/>
    <w:rsid w:val="00C94CEE"/>
    <w:rsid w:val="00CE42F1"/>
    <w:rsid w:val="00D46769"/>
    <w:rsid w:val="00D536A5"/>
    <w:rsid w:val="00D767FB"/>
    <w:rsid w:val="00DA52BF"/>
    <w:rsid w:val="00DD100C"/>
    <w:rsid w:val="00DE09CE"/>
    <w:rsid w:val="00E00089"/>
    <w:rsid w:val="00E46D15"/>
    <w:rsid w:val="00E80F87"/>
    <w:rsid w:val="00F15678"/>
    <w:rsid w:val="00F15CEC"/>
    <w:rsid w:val="00F55B74"/>
    <w:rsid w:val="00F820CC"/>
    <w:rsid w:val="00F90DAE"/>
    <w:rsid w:val="00FB7F5A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358B"/>
  <w15:chartTrackingRefBased/>
  <w15:docId w15:val="{9ED80554-773C-4C07-95FB-690F9030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F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6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https://www.cipfa.org/policy-and-guidance/technical-panels-and-boards/local-authority-scotland-accounts-advisory-committee/guidance-and-publications/guidance-on-accounting-for-coronavirus-gran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www.cipfa.org/policy-and-guidance/technical-panels-and-boards/local-authority-scotland-accounts-advisory-committee/guidance-and-publications/guidance-on-accounting-for-coronavirus-gra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ipfa.org/policy-and-guidance/technical-panels-and-boards/local-authority-scotland-accounts-advisory-committee/guidance-and-publications/guidance-on-accounting-for-coronavirus-gra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mailto:lasaac@cipfa.or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cipfa.org/policy-and-guidance/technical-panels-and-boards/local-authority-scotland-accounts-advisory-committee/guidance-and-publications/guidance-on-accounting-for-coronavirus-grant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cipfascotland.org.uk/technical/lasaac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bab628bf1f42f98723a759df8ca16e xmlns="73f26e51-a65a-41ce-be09-e93be5a6c1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653dd377-ab6e-4d8f-beb4-d731c3e5e708</TermId>
        </TermInfo>
      </Terms>
    </pcbab628bf1f42f98723a759df8ca16e>
    <TaxKeywordTaxHTField xmlns="73f26e51-a65a-41ce-be09-e93be5a6c1b5">
      <Terms xmlns="http://schemas.microsoft.com/office/infopath/2007/PartnerControls"/>
    </TaxKeywordTaxHTField>
    <TBN xmlns="2fc9121d-ef96-4566-b5a3-0e2e08bdffd2" xsi:nil="true"/>
    <m823e58b371e49d09bcd69a88b1c2ce4 xmlns="73f26e51-a65a-41ce-be09-e93be5a6c1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Progress</TermName>
          <TermId xmlns="http://schemas.microsoft.com/office/infopath/2007/PartnerControls">cd808db4-6a31-4610-b877-1f9364462fe0</TermId>
        </TermInfo>
      </Terms>
    </m823e58b371e49d09bcd69a88b1c2ce4>
    <Calendar_x0020_Year xmlns="2fc9121d-ef96-4566-b5a3-0e2e08bdffd2" xsi:nil="true"/>
    <CategoryDescription xmlns="http://schemas.microsoft.com/sharepoint.v3" xsi:nil="true"/>
    <Grant_x0020_Note xmlns="2fc9121d-ef96-4566-b5a3-0e2e08bdffd2" xsi:nil="true"/>
    <TaxCatchAll xmlns="73f26e51-a65a-41ce-be09-e93be5a6c1b5">
      <Value>5</Value>
      <Value>2</Value>
      <Value>1</Value>
    </TaxCatchAll>
    <Audit_x0020_Year xmlns="2fc9121d-ef96-4566-b5a3-0e2e08bdffd2" xsi:nil="true"/>
    <j9e97b901bf54e0b93012ac3f362a9d9 xmlns="73f26e51-a65a-41ce-be09-e93be5a6c1b5">
      <Terms xmlns="http://schemas.microsoft.com/office/infopath/2007/PartnerControls"/>
    </j9e97b901bf54e0b93012ac3f362a9d9>
    <Data1 xmlns="2fc9121d-ef96-4566-b5a3-0e2e08bdffd2" xsi:nil="true"/>
    <k8e16aff76864e2f951abb3e671768fa xmlns="73f26e51-a65a-41ce-be09-e93be5a6c1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Support</TermName>
          <TermId xmlns="http://schemas.microsoft.com/office/infopath/2007/PartnerControls">1ecdab4c-d596-45dc-a2df-b85988c4d043</TermId>
        </TermInfo>
      </Terms>
    </k8e16aff76864e2f951abb3e671768fa>
    <Financial_x0020_Year xmlns="2fc9121d-ef96-4566-b5a3-0e2e08bdff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Standard" ma:contentTypeID="0x0101002B71BA3BFA6C0843BA0B3254B5AA3013010100134A29BF2A2EF643A8535A103142DC27" ma:contentTypeVersion="19" ma:contentTypeDescription="Default Audit Scotland content type no disposal policy set as will be managed by policy and labels. **  On prem version has 18 month retention policy for documents and 7 years for records. **" ma:contentTypeScope="" ma:versionID="a31d0167d0a57f97b8ad5d125e731033">
  <xsd:schema xmlns:xsd="http://www.w3.org/2001/XMLSchema" xmlns:xs="http://www.w3.org/2001/XMLSchema" xmlns:p="http://schemas.microsoft.com/office/2006/metadata/properties" xmlns:ns2="http://schemas.microsoft.com/sharepoint.v3" xmlns:ns3="73f26e51-a65a-41ce-be09-e93be5a6c1b5" xmlns:ns4="2fc9121d-ef96-4566-b5a3-0e2e08bdffd2" xmlns:ns6="e94483c3-5ffd-4d56-a536-bab65bcbf14b" targetNamespace="http://schemas.microsoft.com/office/2006/metadata/properties" ma:root="true" ma:fieldsID="4b97b30069f41fd203107b02b15c7777" ns2:_="" ns3:_="" ns4:_="" ns6:_="">
    <xsd:import namespace="http://schemas.microsoft.com/sharepoint.v3"/>
    <xsd:import namespace="73f26e51-a65a-41ce-be09-e93be5a6c1b5"/>
    <xsd:import namespace="2fc9121d-ef96-4566-b5a3-0e2e08bdffd2"/>
    <xsd:import namespace="e94483c3-5ffd-4d56-a536-bab65bcbf14b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pcbab628bf1f42f98723a759df8ca16e" minOccurs="0"/>
                <xsd:element ref="ns3:TaxCatchAll" minOccurs="0"/>
                <xsd:element ref="ns3:TaxCatchAllLabel" minOccurs="0"/>
                <xsd:element ref="ns3:k8e16aff76864e2f951abb3e671768fa" minOccurs="0"/>
                <xsd:element ref="ns3:m823e58b371e49d09bcd69a88b1c2ce4" minOccurs="0"/>
                <xsd:element ref="ns4:Audit_x0020_Year" minOccurs="0"/>
                <xsd:element ref="ns4:Grant_x0020_Note" minOccurs="0"/>
                <xsd:element ref="ns3:TaxKeywordTaxHTField" minOccurs="0"/>
                <xsd:element ref="ns3:j9e97b901bf54e0b93012ac3f362a9d9" minOccurs="0"/>
                <xsd:element ref="ns4:Calendar_x0020_Year" minOccurs="0"/>
                <xsd:element ref="ns4:TBN" minOccurs="0"/>
                <xsd:element ref="ns4:Data1" minOccurs="0"/>
                <xsd:element ref="ns4:Financial_x0020_Year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" nillable="true" ma:displayName="Description" ma:description="A short summary of the information contents. Retained for legacy purposes." ma:internalName="Category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26e51-a65a-41ce-be09-e93be5a6c1b5" elementFormDefault="qualified">
    <xsd:import namespace="http://schemas.microsoft.com/office/2006/documentManagement/types"/>
    <xsd:import namespace="http://schemas.microsoft.com/office/infopath/2007/PartnerControls"/>
    <xsd:element name="pcbab628bf1f42f98723a759df8ca16e" ma:index="8" ma:taxonomy="true" ma:internalName="pcbab628bf1f42f98723a759df8ca16e" ma:taxonomyFieldName="Classification" ma:displayName="Classification" ma:readOnly="false" ma:default="1;#Public|653dd377-ab6e-4d8f-beb4-d731c3e5e708" ma:fieldId="{9cbab628-bf1f-42f9-8723-a759df8ca16e}" ma:sspId="1600c076-bcf7-41be-9e19-69f1fc815d70" ma:termSetId="39710258-30fe-4605-9813-cbc16f1010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d310297-e88a-4ec2-8c5b-ba6c34653a0c}" ma:internalName="TaxCatchAll" ma:showField="CatchAllData" ma:web="2fc9121d-ef96-4566-b5a3-0e2e08bdf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310297-e88a-4ec2-8c5b-ba6c34653a0c}" ma:internalName="TaxCatchAllLabel" ma:readOnly="true" ma:showField="CatchAllDataLabel" ma:web="2fc9121d-ef96-4566-b5a3-0e2e08bdf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e16aff76864e2f951abb3e671768fa" ma:index="13" ma:taxonomy="true" ma:internalName="k8e16aff76864e2f951abb3e671768fa" ma:taxonomyFieldName="Information_x0020_Owner" ma:displayName="Information Owner" ma:readOnly="false" ma:default="5;#Professional Support|1ecdab4c-d596-45dc-a2df-b85988c4d043" ma:fieldId="{48e16aff-7686-4e2f-951a-bb3e671768fa}" ma:sspId="1600c076-bcf7-41be-9e19-69f1fc815d70" ma:termSetId="53369e55-e008-436f-9d85-4123d8b771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23e58b371e49d09bcd69a88b1c2ce4" ma:index="15" nillable="true" ma:taxonomy="true" ma:internalName="m823e58b371e49d09bcd69a88b1c2ce4" ma:taxonomyFieldName="Document_x0020_Status" ma:displayName="Document Status" ma:default="2;#In Progress|cd808db4-6a31-4610-b877-1f9364462fe0" ma:fieldId="{6823e58b-371e-49d0-9bcd-69a88b1c2ce4}" ma:sspId="1600c076-bcf7-41be-9e19-69f1fc815d70" ma:termSetId="6b2ad3a2-fd70-4ded-a176-3092ca0db6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1600c076-bcf7-41be-9e19-69f1fc815d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9e97b901bf54e0b93012ac3f362a9d9" ma:index="22" nillable="true" ma:taxonomy="true" ma:internalName="j9e97b901bf54e0b93012ac3f362a9d9" ma:taxonomyFieldName="Audit" ma:displayName="Audit" ma:default="" ma:fieldId="{39e97b90-1bf5-4e0b-9301-2ac3f362a9d9}" ma:sspId="1600c076-bcf7-41be-9e19-69f1fc815d70" ma:termSetId="448cbcad-439b-4d1d-baaf-82090fe12f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9121d-ef96-4566-b5a3-0e2e08bdffd2" elementFormDefault="qualified">
    <xsd:import namespace="http://schemas.microsoft.com/office/2006/documentManagement/types"/>
    <xsd:import namespace="http://schemas.microsoft.com/office/infopath/2007/PartnerControls"/>
    <xsd:element name="Audit_x0020_Year" ma:index="17" nillable="true" ma:displayName="Audit Year" ma:internalName="Audit_x0020_Year">
      <xsd:simpleType>
        <xsd:restriction base="dms:Text">
          <xsd:maxLength value="255"/>
        </xsd:restriction>
      </xsd:simpleType>
    </xsd:element>
    <xsd:element name="Grant_x0020_Note" ma:index="18" nillable="true" ma:displayName="Grant Note" ma:internalName="Grant_x0020_Note">
      <xsd:simpleType>
        <xsd:restriction base="dms:Text">
          <xsd:maxLength value="255"/>
        </xsd:restriction>
      </xsd:simpleType>
    </xsd:element>
    <xsd:element name="Calendar_x0020_Year" ma:index="24" nillable="true" ma:displayName="Calendar Year" ma:internalName="Calendar_x0020_Year">
      <xsd:simpleType>
        <xsd:restriction base="dms:Text">
          <xsd:maxLength value="255"/>
        </xsd:restriction>
      </xsd:simpleType>
    </xsd:element>
    <xsd:element name="TBN" ma:index="25" nillable="true" ma:displayName="TBN" ma:internalName="TBN">
      <xsd:simpleType>
        <xsd:restriction base="dms:Text">
          <xsd:maxLength value="255"/>
        </xsd:restriction>
      </xsd:simpleType>
    </xsd:element>
    <xsd:element name="Data1" ma:index="26" nillable="true" ma:displayName="Date" ma:format="DateOnly" ma:internalName="Data1" ma:readOnly="false">
      <xsd:simpleType>
        <xsd:restriction base="dms:DateTime"/>
      </xsd:simpleType>
    </xsd:element>
    <xsd:element name="Financial_x0020_Year" ma:index="27" nillable="true" ma:displayName="Financial Year" ma:internalName="Financial_x0020_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3c3-5ffd-4d56-a536-bab65bcbf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600c076-bcf7-41be-9e19-69f1fc815d70" ContentTypeId="0x0101002B71BA3BFA6C0843BA0B3254B5AA3013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82F5C-82B7-44C7-9D13-F723152FE178}">
  <ds:schemaRefs>
    <ds:schemaRef ds:uri="http://schemas.microsoft.com/office/2006/metadata/properties"/>
    <ds:schemaRef ds:uri="http://schemas.microsoft.com/office/infopath/2007/PartnerControls"/>
    <ds:schemaRef ds:uri="73f26e51-a65a-41ce-be09-e93be5a6c1b5"/>
    <ds:schemaRef ds:uri="2fc9121d-ef96-4566-b5a3-0e2e08bdffd2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DB2D9A29-53C2-4D9D-A2FE-9A1814E75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73f26e51-a65a-41ce-be09-e93be5a6c1b5"/>
    <ds:schemaRef ds:uri="2fc9121d-ef96-4566-b5a3-0e2e08bdffd2"/>
    <ds:schemaRef ds:uri="e94483c3-5ffd-4d56-a536-bab65bcbf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2FDD8-56CE-4B63-AB58-295BE194A56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44A095-6AE2-4304-A99C-2B6D144DF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Bermingham, Alan</dc:creator>
  <cp:keywords/>
  <dc:description/>
  <cp:lastModifiedBy>Bermingham, Alan</cp:lastModifiedBy>
  <cp:revision>2</cp:revision>
  <dcterms:created xsi:type="dcterms:W3CDTF">2021-07-08T10:54:00Z</dcterms:created>
  <dcterms:modified xsi:type="dcterms:W3CDTF">2021-07-08T10:54:00Z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0x0101002B71BA3BFA6C0843BA0B3254B5AA3013010100134A29BF2A2EF643A8535A103142DC27</vt:lpwstr>
  </property>
  <property fmtid="{D5CDD505-2E9C-101B-9397-08002B2CF9AE}" pid="3" name="Information Owner">
    <vt:lpwstr>5;#Professional Support|1ecdab4c-d596-45dc-a2df-b85988c4d043</vt:lpwstr>
  </property>
  <property fmtid="{D5CDD505-2E9C-101B-9397-08002B2CF9AE}" pid="4" name="TaxKeyword">
    <vt:lpwstr/>
  </property>
  <property fmtid="{D5CDD505-2E9C-101B-9397-08002B2CF9AE}" pid="5" name="Audit">
    <vt:lpwstr/>
  </property>
  <property fmtid="{D5CDD505-2E9C-101B-9397-08002B2CF9AE}" pid="6" name="Classification">
    <vt:lpwstr>1;#Public|653dd377-ab6e-4d8f-beb4-d731c3e5e708</vt:lpwstr>
  </property>
  <property fmtid="{D5CDD505-2E9C-101B-9397-08002B2CF9AE}" pid="7" name="Document Status">
    <vt:lpwstr>2;#In Progress|cd808db4-6a31-4610-b877-1f9364462fe0</vt:lpwstr>
  </property>
</Properties>
</file>